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69877875"/>
        <w:docPartObj>
          <w:docPartGallery w:val="Cover Pages"/>
          <w:docPartUnique/>
        </w:docPartObj>
      </w:sdtPr>
      <w:sdtEndPr>
        <w:rPr>
          <w:color w:val="548DD4" w:themeColor="text2" w:themeTint="99"/>
        </w:rPr>
      </w:sdtEndPr>
      <w:sdtContent>
        <w:p w:rsidR="00100FAE" w:rsidRDefault="00100FAE"/>
        <w:tbl>
          <w:tblPr>
            <w:tblpPr w:leftFromText="187" w:rightFromText="187" w:horzAnchor="margin" w:tblpXSpec="center" w:tblpYSpec="bottom"/>
            <w:tblW w:w="4779" w:type="pct"/>
            <w:tblLook w:val="04A0" w:firstRow="1" w:lastRow="0" w:firstColumn="1" w:lastColumn="0" w:noHBand="0" w:noVBand="1"/>
          </w:tblPr>
          <w:tblGrid>
            <w:gridCol w:w="8667"/>
          </w:tblGrid>
          <w:tr w:rsidR="007A1805" w:rsidRPr="007A1805" w:rsidTr="00DF64AB">
            <w:trPr>
              <w:trHeight w:val="634"/>
            </w:trPr>
            <w:tc>
              <w:tcPr>
                <w:tcW w:w="8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00FAE" w:rsidRPr="007A1805" w:rsidRDefault="00100FAE">
                <w:pPr>
                  <w:pStyle w:val="Sinespaciado"/>
                  <w:rPr>
                    <w:color w:val="548DD4" w:themeColor="text2" w:themeTint="99"/>
                  </w:rPr>
                </w:pPr>
              </w:p>
              <w:p w:rsidR="00886740" w:rsidRDefault="00886740">
                <w:pPr>
                  <w:pStyle w:val="Sinespaciado"/>
                  <w:rPr>
                    <w:color w:val="548DD4" w:themeColor="text2" w:themeTint="99"/>
                  </w:rPr>
                </w:pPr>
              </w:p>
              <w:p w:rsidR="00886740" w:rsidRDefault="00886740">
                <w:pPr>
                  <w:pStyle w:val="Sinespaciado"/>
                  <w:rPr>
                    <w:color w:val="548DD4" w:themeColor="text2" w:themeTint="99"/>
                  </w:rPr>
                </w:pPr>
              </w:p>
              <w:p w:rsidR="00886740" w:rsidRPr="007A1805" w:rsidRDefault="00886740">
                <w:pPr>
                  <w:pStyle w:val="Sinespaciado"/>
                  <w:rPr>
                    <w:color w:val="548DD4" w:themeColor="text2" w:themeTint="99"/>
                  </w:rPr>
                </w:pPr>
              </w:p>
            </w:tc>
          </w:tr>
          <w:tr w:rsidR="00DF64AB" w:rsidRPr="007A1805" w:rsidTr="00DF64AB">
            <w:trPr>
              <w:trHeight w:val="2856"/>
            </w:trPr>
            <w:tc>
              <w:tcPr>
                <w:tcW w:w="8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64AB" w:rsidRPr="00886740" w:rsidRDefault="00886740" w:rsidP="00886740">
                <w:pPr>
                  <w:pStyle w:val="Sinespaciado"/>
                  <w:jc w:val="right"/>
                  <w:rPr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886740">
                  <w:rPr>
                    <w:b/>
                    <w:sz w:val="28"/>
                    <w:szCs w:val="28"/>
                  </w:rPr>
                  <w:t>CASO 2 / 2015</w:t>
                </w:r>
              </w:p>
              <w:p w:rsidR="00DF64AB" w:rsidRDefault="00886740" w:rsidP="00DF64AB">
                <w:pPr>
                  <w:pStyle w:val="Sinespaciado"/>
                  <w:jc w:val="right"/>
                  <w:rPr>
                    <w:b/>
                    <w:sz w:val="28"/>
                    <w:szCs w:val="28"/>
                  </w:rPr>
                </w:pPr>
                <w:r w:rsidRPr="00886740">
                  <w:rPr>
                    <w:b/>
                    <w:sz w:val="28"/>
                    <w:szCs w:val="28"/>
                  </w:rPr>
                  <w:t>Presenta: Dra.</w:t>
                </w:r>
                <w:r w:rsidR="00DF64AB" w:rsidRPr="00886740">
                  <w:rPr>
                    <w:b/>
                    <w:sz w:val="28"/>
                    <w:szCs w:val="28"/>
                  </w:rPr>
                  <w:t xml:space="preserve"> Valeria Melisa</w:t>
                </w:r>
                <w:r w:rsidRPr="00886740">
                  <w:rPr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886740">
                  <w:rPr>
                    <w:b/>
                    <w:sz w:val="28"/>
                    <w:szCs w:val="28"/>
                  </w:rPr>
                  <w:t>Brichetti</w:t>
                </w:r>
                <w:proofErr w:type="spellEnd"/>
              </w:p>
              <w:p w:rsidR="00886740" w:rsidRPr="00886740" w:rsidRDefault="00886740" w:rsidP="00DF64AB">
                <w:pPr>
                  <w:pStyle w:val="Sinespaciado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Diciembre 2015</w:t>
                </w:r>
              </w:p>
              <w:p w:rsidR="00DF64AB" w:rsidRPr="00886740" w:rsidRDefault="00886740" w:rsidP="00886740">
                <w:pPr>
                  <w:pStyle w:val="Sinespaciado"/>
                  <w:jc w:val="right"/>
                  <w:rPr>
                    <w:color w:val="548DD4" w:themeColor="text2" w:themeTint="99"/>
                    <w:sz w:val="28"/>
                    <w:szCs w:val="28"/>
                  </w:rPr>
                </w:pPr>
                <w:r w:rsidRPr="008C3318">
                  <w:rPr>
                    <w:sz w:val="28"/>
                    <w:szCs w:val="28"/>
                  </w:rPr>
                  <w:t xml:space="preserve">A propósito de un caso de </w:t>
                </w:r>
                <w:proofErr w:type="spellStart"/>
                <w:r w:rsidRPr="008C3318">
                  <w:rPr>
                    <w:sz w:val="28"/>
                    <w:szCs w:val="28"/>
                  </w:rPr>
                  <w:t>Sindrome</w:t>
                </w:r>
                <w:proofErr w:type="spellEnd"/>
                <w:r w:rsidRPr="008C3318">
                  <w:rPr>
                    <w:sz w:val="28"/>
                    <w:szCs w:val="28"/>
                  </w:rPr>
                  <w:t xml:space="preserve"> de Hipoventilación Central Congénita de Presentación Tardía</w:t>
                </w:r>
              </w:p>
            </w:tc>
          </w:tr>
        </w:tbl>
        <w:p w:rsidR="00100FAE" w:rsidRPr="007A1805" w:rsidRDefault="00100FAE">
          <w:pPr>
            <w:rPr>
              <w:color w:val="548DD4" w:themeColor="text2" w:themeTint="99"/>
            </w:rPr>
          </w:pPr>
        </w:p>
        <w:tbl>
          <w:tblPr>
            <w:tblpPr w:leftFromText="187" w:rightFromText="187" w:vertAnchor="page" w:horzAnchor="margin" w:tblpXSpec="center" w:tblpY="331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254"/>
          </w:tblGrid>
          <w:tr w:rsidR="00DF64AB" w:rsidTr="00DF64AB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64AB" w:rsidRDefault="00DF64AB" w:rsidP="00DF64AB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DF64AB" w:rsidTr="00DF64AB">
            <w:tc>
              <w:tcPr>
                <w:tcW w:w="7254" w:type="dxa"/>
              </w:tcPr>
              <w:p w:rsidR="00DF64AB" w:rsidRDefault="00DF64AB" w:rsidP="00DF64AB">
                <w:pPr>
                  <w:pStyle w:val="Sinespaciado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</w:p>
            </w:tc>
          </w:tr>
          <w:tr w:rsidR="00DF64AB" w:rsidTr="00DF64AB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64AB" w:rsidRDefault="00DF64AB" w:rsidP="00DF64AB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100FAE" w:rsidRPr="007A1805" w:rsidRDefault="00DF64AB">
          <w:pPr>
            <w:rPr>
              <w:color w:val="548DD4" w:themeColor="text2" w:themeTint="99"/>
            </w:rPr>
          </w:pPr>
          <w:r w:rsidRPr="007A1805">
            <w:rPr>
              <w:color w:val="548DD4" w:themeColor="text2" w:themeTint="99"/>
            </w:rPr>
            <w:t xml:space="preserve"> </w:t>
          </w:r>
          <w:r w:rsidR="00100FAE" w:rsidRPr="007A1805">
            <w:rPr>
              <w:color w:val="548DD4" w:themeColor="text2" w:themeTint="99"/>
            </w:rPr>
            <w:br w:type="page"/>
          </w:r>
        </w:p>
      </w:sdtContent>
    </w:sdt>
    <w:p w:rsidR="007717B5" w:rsidRPr="00886740" w:rsidRDefault="007717B5" w:rsidP="00DF64AB">
      <w:pPr>
        <w:rPr>
          <w:rFonts w:ascii="Times New Roman" w:hAnsi="Times New Roman" w:cs="Times New Roman"/>
          <w:sz w:val="28"/>
          <w:szCs w:val="28"/>
        </w:rPr>
      </w:pPr>
      <w:r w:rsidRPr="00886740">
        <w:rPr>
          <w:rFonts w:ascii="Times New Roman" w:hAnsi="Times New Roman" w:cs="Times New Roman"/>
          <w:sz w:val="28"/>
          <w:szCs w:val="28"/>
        </w:rPr>
        <w:lastRenderedPageBreak/>
        <w:t>CASO CLÍNICO</w:t>
      </w:r>
    </w:p>
    <w:p w:rsidR="007717B5" w:rsidRPr="00886740" w:rsidRDefault="00641860" w:rsidP="008C3318">
      <w:pPr>
        <w:pStyle w:val="Textoindependienteprimerasangra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86740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anchor distT="0" distB="0" distL="114300" distR="114300" simplePos="0" relativeHeight="251658240" behindDoc="1" locked="0" layoutInCell="1" allowOverlap="1" wp14:anchorId="5E1F4B71" wp14:editId="719E18F9">
            <wp:simplePos x="0" y="0"/>
            <wp:positionH relativeFrom="column">
              <wp:posOffset>1378585</wp:posOffset>
            </wp:positionH>
            <wp:positionV relativeFrom="paragraph">
              <wp:posOffset>1881505</wp:posOffset>
            </wp:positionV>
            <wp:extent cx="2793365" cy="2094865"/>
            <wp:effectExtent l="76200" t="76200" r="140335" b="133985"/>
            <wp:wrapThrough wrapText="bothSides">
              <wp:wrapPolygon edited="0">
                <wp:start x="-295" y="-786"/>
                <wp:lineTo x="-589" y="-589"/>
                <wp:lineTo x="-589" y="21999"/>
                <wp:lineTo x="-295" y="22785"/>
                <wp:lineTo x="22243" y="22785"/>
                <wp:lineTo x="22538" y="21607"/>
                <wp:lineTo x="22538" y="2554"/>
                <wp:lineTo x="22243" y="-393"/>
                <wp:lineTo x="22243" y="-786"/>
                <wp:lineTo x="-295" y="-786"/>
              </wp:wrapPolygon>
            </wp:wrapThrough>
            <wp:docPr id="1" name="Imagen 1" descr="C:\Users\Val\Desktop\Val\Casos Clínicos\Val-Ondina\Hipoventilacion\Seferina imagenes\P101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\Desktop\Val\Casos Clínicos\Val-Ondina\Hipoventilacion\Seferina imagenes\P10106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094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7B5" w:rsidRPr="00886740">
        <w:rPr>
          <w:rFonts w:ascii="Times New Roman" w:hAnsi="Times New Roman" w:cs="Times New Roman"/>
          <w:sz w:val="28"/>
          <w:szCs w:val="28"/>
        </w:rPr>
        <w:t xml:space="preserve">Paciente </w:t>
      </w:r>
      <w:r w:rsidR="00A77A70" w:rsidRPr="00886740">
        <w:rPr>
          <w:rFonts w:ascii="Times New Roman" w:hAnsi="Times New Roman" w:cs="Times New Roman"/>
          <w:sz w:val="28"/>
          <w:szCs w:val="28"/>
        </w:rPr>
        <w:t>femenina de 45 años de edad que</w:t>
      </w:r>
      <w:r w:rsidR="007717B5" w:rsidRPr="00886740">
        <w:rPr>
          <w:rFonts w:ascii="Times New Roman" w:hAnsi="Times New Roman" w:cs="Times New Roman"/>
          <w:sz w:val="28"/>
          <w:szCs w:val="28"/>
        </w:rPr>
        <w:t xml:space="preserve"> consulta por presentar astenia, adinamia y disnea de dos semanas de evolución internándose con diagnóstico de neumonía grave de la comunidad. Progresa rápidamente a insuficiencia respiratoria con hipoxemia e hipercapnia marcadas por lo que requiere ARM</w:t>
      </w:r>
      <w:r w:rsidRPr="00886740">
        <w:rPr>
          <w:rFonts w:ascii="Times New Roman" w:hAnsi="Times New Roman" w:cs="Times New Roman"/>
          <w:sz w:val="28"/>
          <w:szCs w:val="28"/>
        </w:rPr>
        <w:t xml:space="preserve"> en unidad de cuidados intensivos</w:t>
      </w:r>
      <w:r w:rsidR="007717B5" w:rsidRPr="00886740">
        <w:rPr>
          <w:rFonts w:ascii="Times New Roman" w:hAnsi="Times New Roman" w:cs="Times New Roman"/>
          <w:sz w:val="28"/>
          <w:szCs w:val="28"/>
        </w:rPr>
        <w:t xml:space="preserve">. </w:t>
      </w:r>
      <w:r w:rsidRPr="00886740">
        <w:rPr>
          <w:rFonts w:ascii="Times New Roman" w:hAnsi="Times New Roman" w:cs="Times New Roman"/>
          <w:sz w:val="28"/>
          <w:szCs w:val="28"/>
        </w:rPr>
        <w:br/>
      </w:r>
      <w:r w:rsidRPr="00886740">
        <w:rPr>
          <w:rFonts w:ascii="Times New Roman" w:hAnsi="Times New Roman" w:cs="Times New Roman"/>
          <w:sz w:val="28"/>
          <w:szCs w:val="28"/>
        </w:rPr>
        <w:br/>
      </w:r>
    </w:p>
    <w:p w:rsidR="00641860" w:rsidRDefault="00641860" w:rsidP="00A77A70">
      <w:pPr>
        <w:pStyle w:val="Ttulo2"/>
        <w:spacing w:before="120" w:after="120" w:line="360" w:lineRule="auto"/>
        <w:rPr>
          <w:rFonts w:asciiTheme="minorHAnsi" w:hAnsiTheme="minorHAnsi"/>
          <w:i/>
          <w:color w:val="95B3D7" w:themeColor="accent1" w:themeTint="99"/>
          <w:sz w:val="22"/>
          <w:szCs w:val="22"/>
          <w:u w:val="single"/>
        </w:rPr>
      </w:pPr>
    </w:p>
    <w:p w:rsidR="00641860" w:rsidRDefault="00641860" w:rsidP="00A77A70">
      <w:pPr>
        <w:pStyle w:val="Ttulo2"/>
        <w:spacing w:before="120" w:after="120" w:line="360" w:lineRule="auto"/>
        <w:rPr>
          <w:rFonts w:asciiTheme="minorHAnsi" w:hAnsiTheme="minorHAnsi"/>
          <w:i/>
          <w:color w:val="95B3D7" w:themeColor="accent1" w:themeTint="99"/>
          <w:sz w:val="22"/>
          <w:szCs w:val="22"/>
          <w:u w:val="single"/>
        </w:rPr>
      </w:pPr>
    </w:p>
    <w:p w:rsidR="00641860" w:rsidRDefault="00641860" w:rsidP="00A77A70">
      <w:pPr>
        <w:pStyle w:val="Ttulo2"/>
        <w:spacing w:before="120" w:after="120" w:line="360" w:lineRule="auto"/>
        <w:rPr>
          <w:rFonts w:asciiTheme="minorHAnsi" w:hAnsiTheme="minorHAnsi"/>
          <w:i/>
          <w:color w:val="95B3D7" w:themeColor="accent1" w:themeTint="99"/>
          <w:sz w:val="22"/>
          <w:szCs w:val="22"/>
          <w:u w:val="single"/>
        </w:rPr>
      </w:pPr>
    </w:p>
    <w:p w:rsidR="00641860" w:rsidRDefault="00641860" w:rsidP="00A77A70">
      <w:pPr>
        <w:pStyle w:val="Ttulo2"/>
        <w:spacing w:before="120" w:after="120" w:line="360" w:lineRule="auto"/>
        <w:rPr>
          <w:rFonts w:asciiTheme="minorHAnsi" w:hAnsiTheme="minorHAnsi"/>
          <w:i/>
          <w:color w:val="95B3D7" w:themeColor="accent1" w:themeTint="99"/>
          <w:sz w:val="22"/>
          <w:szCs w:val="22"/>
          <w:u w:val="single"/>
        </w:rPr>
      </w:pPr>
    </w:p>
    <w:p w:rsidR="00641860" w:rsidRDefault="00641860" w:rsidP="00A77A70">
      <w:pPr>
        <w:pStyle w:val="Ttulo2"/>
        <w:spacing w:before="120" w:after="120" w:line="360" w:lineRule="auto"/>
        <w:rPr>
          <w:rFonts w:asciiTheme="minorHAnsi" w:hAnsiTheme="minorHAnsi"/>
          <w:i/>
          <w:color w:val="95B3D7" w:themeColor="accent1" w:themeTint="99"/>
          <w:sz w:val="22"/>
          <w:szCs w:val="22"/>
          <w:u w:val="single"/>
        </w:rPr>
      </w:pPr>
    </w:p>
    <w:p w:rsidR="00641860" w:rsidRDefault="00641860" w:rsidP="00A77A70">
      <w:pPr>
        <w:pStyle w:val="Ttulo2"/>
        <w:spacing w:before="120" w:after="120" w:line="360" w:lineRule="auto"/>
        <w:rPr>
          <w:rFonts w:asciiTheme="minorHAnsi" w:hAnsiTheme="minorHAnsi"/>
          <w:i/>
          <w:color w:val="95B3D7" w:themeColor="accent1" w:themeTint="99"/>
          <w:sz w:val="22"/>
          <w:szCs w:val="22"/>
          <w:u w:val="single"/>
        </w:rPr>
      </w:pPr>
    </w:p>
    <w:p w:rsidR="00641860" w:rsidRDefault="00AC787F" w:rsidP="00A77A70">
      <w:pPr>
        <w:pStyle w:val="Ttulo2"/>
        <w:spacing w:before="120" w:after="120" w:line="360" w:lineRule="auto"/>
        <w:rPr>
          <w:rFonts w:asciiTheme="minorHAnsi" w:hAnsiTheme="minorHAnsi"/>
          <w:i/>
          <w:color w:val="95B3D7" w:themeColor="accent1" w:themeTint="99"/>
          <w:sz w:val="22"/>
          <w:szCs w:val="22"/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5F7C3" wp14:editId="228EE55C">
                <wp:simplePos x="0" y="0"/>
                <wp:positionH relativeFrom="column">
                  <wp:posOffset>1317625</wp:posOffset>
                </wp:positionH>
                <wp:positionV relativeFrom="paragraph">
                  <wp:posOffset>15875</wp:posOffset>
                </wp:positionV>
                <wp:extent cx="2793365" cy="635"/>
                <wp:effectExtent l="0" t="0" r="6985" b="0"/>
                <wp:wrapThrough wrapText="bothSides">
                  <wp:wrapPolygon edited="0">
                    <wp:start x="0" y="0"/>
                    <wp:lineTo x="0" y="20057"/>
                    <wp:lineTo x="21507" y="20057"/>
                    <wp:lineTo x="21507" y="0"/>
                    <wp:lineTo x="0" y="0"/>
                  </wp:wrapPolygon>
                </wp:wrapThrough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805" w:rsidRPr="00886740" w:rsidRDefault="007A1805" w:rsidP="00277C27">
                            <w:pPr>
                              <w:pStyle w:val="Epgrafe"/>
                              <w:rPr>
                                <w:noProof/>
                                <w:color w:val="auto"/>
                              </w:rPr>
                            </w:pPr>
                            <w:r w:rsidRPr="00886740">
                              <w:rPr>
                                <w:color w:val="auto"/>
                              </w:rPr>
                              <w:t>Fig1. Radiografía de tórax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103.75pt;margin-top:1.25pt;width:219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" stroked="f">
                <v:textbox style="mso-fit-shape-to-text:t" inset="0,0,0,0">
                  <w:txbxContent>
                    <w:p w:rsidR="007A1805" w:rsidRPr="00886740" w:rsidRDefault="007A1805" w:rsidP="00277C27">
                      <w:pPr>
                        <w:pStyle w:val="Epgrafe"/>
                        <w:rPr>
                          <w:noProof/>
                          <w:color w:val="auto"/>
                        </w:rPr>
                      </w:pPr>
                      <w:r w:rsidRPr="00886740">
                        <w:rPr>
                          <w:color w:val="auto"/>
                        </w:rPr>
                        <w:t>Fig1. Radiografía de tórax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77A70" w:rsidRPr="00886740" w:rsidRDefault="006B4374" w:rsidP="00A77A70">
      <w:pPr>
        <w:pStyle w:val="Ttulo2"/>
        <w:spacing w:before="120" w:after="12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Antecedentes:</w:t>
      </w:r>
    </w:p>
    <w:p w:rsidR="00DC6E11" w:rsidRDefault="00DC6E11" w:rsidP="008C3318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6740">
        <w:rPr>
          <w:rFonts w:ascii="Times New Roman" w:hAnsi="Times New Roman" w:cs="Times New Roman"/>
          <w:sz w:val="28"/>
          <w:szCs w:val="28"/>
        </w:rPr>
        <w:t xml:space="preserve">G8P7A1, con tres hijos varones de distinto padre fallecidos durante la lactancia -dieciocho, cinco y dos meses de vida respectivamente- (el último hijo con diagnóstico presuntivo de hipoventilación alveolar central). Cuatro hijas mujeres vivas, tres de ellas sanas y </w:t>
      </w:r>
      <w:r w:rsidR="00E907C3" w:rsidRPr="00886740">
        <w:rPr>
          <w:rFonts w:ascii="Times New Roman" w:hAnsi="Times New Roman" w:cs="Times New Roman"/>
          <w:sz w:val="28"/>
          <w:szCs w:val="28"/>
        </w:rPr>
        <w:t>otra</w:t>
      </w:r>
      <w:r w:rsidRPr="00886740">
        <w:rPr>
          <w:rFonts w:ascii="Times New Roman" w:hAnsi="Times New Roman" w:cs="Times New Roman"/>
          <w:sz w:val="28"/>
          <w:szCs w:val="28"/>
        </w:rPr>
        <w:t xml:space="preserve"> nacida en el año 2000 con retraso madurativo, con antecedentes de internación a los seis meses de vida por cuadro compatible con insuficiencia cardíaca con hipoxemia e hipercapnia con requerimiento de ARM. La misma es estudiada descartando todo tipo de causas que justifiquen el cuadro, se presume de origen central.</w:t>
      </w:r>
    </w:p>
    <w:p w:rsidR="006B4374" w:rsidRDefault="006B4374" w:rsidP="006B4374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6B4374" w:rsidRPr="006B4374" w:rsidRDefault="006B4374" w:rsidP="006B4374">
      <w:pPr>
        <w:pStyle w:val="Prrafodelista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Antecedentes patológicos:</w:t>
      </w:r>
    </w:p>
    <w:p w:rsidR="006B4374" w:rsidRPr="00886740" w:rsidRDefault="006B4374" w:rsidP="006B4374">
      <w:pPr>
        <w:pStyle w:val="Textoindependienteprimerasangra"/>
        <w:numPr>
          <w:ilvl w:val="0"/>
          <w:numId w:val="3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886740">
        <w:rPr>
          <w:rFonts w:ascii="Times New Roman" w:hAnsi="Times New Roman" w:cs="Times New Roman"/>
          <w:sz w:val="28"/>
          <w:szCs w:val="28"/>
        </w:rPr>
        <w:lastRenderedPageBreak/>
        <w:t>Obesidad tipo II</w:t>
      </w:r>
    </w:p>
    <w:p w:rsidR="006B4374" w:rsidRPr="00886740" w:rsidRDefault="006B4374" w:rsidP="006B4374">
      <w:pPr>
        <w:pStyle w:val="Textoindependienteprimerasangra"/>
        <w:numPr>
          <w:ilvl w:val="0"/>
          <w:numId w:val="3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886740">
        <w:rPr>
          <w:rFonts w:ascii="Times New Roman" w:hAnsi="Times New Roman" w:cs="Times New Roman"/>
          <w:sz w:val="28"/>
          <w:szCs w:val="28"/>
        </w:rPr>
        <w:t>Hipotiroidismo con abandono de tratamiento dos semanas previas</w:t>
      </w:r>
    </w:p>
    <w:p w:rsidR="006B4374" w:rsidRPr="00886740" w:rsidRDefault="006B4374" w:rsidP="006B4374">
      <w:pPr>
        <w:pStyle w:val="Textoindependienteprimerasangra"/>
        <w:numPr>
          <w:ilvl w:val="0"/>
          <w:numId w:val="3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886740">
        <w:rPr>
          <w:rFonts w:ascii="Times New Roman" w:hAnsi="Times New Roman" w:cs="Times New Roman"/>
          <w:sz w:val="28"/>
          <w:szCs w:val="28"/>
        </w:rPr>
        <w:t>Ex adicta a drogas inhalatorias</w:t>
      </w:r>
    </w:p>
    <w:p w:rsidR="006B4374" w:rsidRPr="006B4374" w:rsidRDefault="006B4374" w:rsidP="006B4374">
      <w:pPr>
        <w:pStyle w:val="Textoindependienteprimerasangra"/>
        <w:numPr>
          <w:ilvl w:val="0"/>
          <w:numId w:val="3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Infarto agudo de miocardio a los 29 años con requerimiento de ARM</w:t>
      </w:r>
    </w:p>
    <w:p w:rsidR="00A77A70" w:rsidRPr="00886740" w:rsidRDefault="00A77A70" w:rsidP="00A77A70">
      <w:pPr>
        <w:pStyle w:val="Textoindependienteprimerasangra"/>
        <w:numPr>
          <w:ilvl w:val="0"/>
          <w:numId w:val="3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886740">
        <w:rPr>
          <w:rFonts w:ascii="Times New Roman" w:hAnsi="Times New Roman" w:cs="Times New Roman"/>
          <w:sz w:val="28"/>
          <w:szCs w:val="28"/>
        </w:rPr>
        <w:t xml:space="preserve">Anexo histerectomía subtotal post aborto provocado cuatro años </w:t>
      </w:r>
      <w:r w:rsidR="0059019A" w:rsidRPr="00886740">
        <w:rPr>
          <w:rFonts w:ascii="Times New Roman" w:hAnsi="Times New Roman" w:cs="Times New Roman"/>
          <w:sz w:val="28"/>
          <w:szCs w:val="28"/>
        </w:rPr>
        <w:t>previos</w:t>
      </w:r>
      <w:r w:rsidRPr="0088674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86740">
        <w:rPr>
          <w:rFonts w:ascii="Times New Roman" w:hAnsi="Times New Roman" w:cs="Times New Roman"/>
          <w:sz w:val="28"/>
          <w:szCs w:val="28"/>
        </w:rPr>
        <w:t>weaning</w:t>
      </w:r>
      <w:proofErr w:type="spellEnd"/>
      <w:r w:rsidRPr="00886740">
        <w:rPr>
          <w:rFonts w:ascii="Times New Roman" w:hAnsi="Times New Roman" w:cs="Times New Roman"/>
          <w:sz w:val="28"/>
          <w:szCs w:val="28"/>
        </w:rPr>
        <w:t xml:space="preserve"> dificultoso</w:t>
      </w:r>
    </w:p>
    <w:p w:rsidR="00A77A70" w:rsidRPr="00886740" w:rsidRDefault="00A77A70" w:rsidP="006B4374">
      <w:pPr>
        <w:pStyle w:val="Textoindependienteprimerasangra"/>
        <w:spacing w:before="120" w:after="120"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77A70" w:rsidRDefault="00A77A70" w:rsidP="00A77A70">
      <w:pPr>
        <w:pStyle w:val="Textoindependienteprimerasangra"/>
        <w:spacing w:before="120" w:after="120" w:line="360" w:lineRule="auto"/>
        <w:ind w:firstLine="0"/>
      </w:pPr>
    </w:p>
    <w:p w:rsidR="00A77A70" w:rsidRPr="006B4374" w:rsidRDefault="00A77A70" w:rsidP="00A77A70">
      <w:pPr>
        <w:pStyle w:val="Textoindependienteprimerasangra"/>
        <w:spacing w:before="120" w:after="120" w:line="36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Hipótesis diagnósticas</w:t>
      </w:r>
    </w:p>
    <w:p w:rsidR="00A77A70" w:rsidRPr="006B4374" w:rsidRDefault="001A1FA3" w:rsidP="00A77A70">
      <w:pPr>
        <w:pStyle w:val="Textoindependienteprimerasangra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374">
        <w:rPr>
          <w:rFonts w:ascii="Times New Roman" w:hAnsi="Times New Roman" w:cs="Times New Roman"/>
          <w:sz w:val="28"/>
          <w:szCs w:val="28"/>
        </w:rPr>
        <w:t>Neumopatía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aguda/subaguda</w:t>
      </w:r>
    </w:p>
    <w:p w:rsidR="0059019A" w:rsidRPr="006B4374" w:rsidRDefault="0059019A" w:rsidP="0059019A">
      <w:pPr>
        <w:pStyle w:val="Textoindependienteprimerasangra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NAC</w:t>
      </w:r>
      <w:r w:rsidR="001A1FA3" w:rsidRPr="006B4374">
        <w:rPr>
          <w:rFonts w:ascii="Times New Roman" w:hAnsi="Times New Roman" w:cs="Times New Roman"/>
          <w:sz w:val="28"/>
          <w:szCs w:val="28"/>
        </w:rPr>
        <w:t xml:space="preserve"> grave de la comunidad</w:t>
      </w:r>
    </w:p>
    <w:p w:rsidR="001A1FA3" w:rsidRPr="006B4374" w:rsidRDefault="001A1FA3" w:rsidP="0059019A">
      <w:pPr>
        <w:pStyle w:val="Textoindependienteprimerasangra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ICC/Edema agudo de pulmón</w:t>
      </w:r>
    </w:p>
    <w:p w:rsidR="001A1FA3" w:rsidRPr="006B4374" w:rsidRDefault="001A1FA3" w:rsidP="0059019A">
      <w:pPr>
        <w:pStyle w:val="Textoindependienteprimerasangra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374">
        <w:rPr>
          <w:rFonts w:ascii="Times New Roman" w:hAnsi="Times New Roman" w:cs="Times New Roman"/>
          <w:sz w:val="28"/>
          <w:szCs w:val="28"/>
        </w:rPr>
        <w:t>Sindrome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distrés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respiratorio del adulto (SDRA)</w:t>
      </w:r>
    </w:p>
    <w:p w:rsidR="0059019A" w:rsidRPr="006B4374" w:rsidRDefault="001A1FA3" w:rsidP="0059019A">
      <w:pPr>
        <w:pStyle w:val="Textoindependienteprimerasangra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Otras: au</w:t>
      </w:r>
      <w:r w:rsidR="0059019A" w:rsidRPr="006B4374">
        <w:rPr>
          <w:rFonts w:ascii="Times New Roman" w:hAnsi="Times New Roman" w:cs="Times New Roman"/>
          <w:sz w:val="28"/>
          <w:szCs w:val="28"/>
        </w:rPr>
        <w:t>toinm</w:t>
      </w:r>
      <w:r w:rsidRPr="006B4374">
        <w:rPr>
          <w:rFonts w:ascii="Times New Roman" w:hAnsi="Times New Roman" w:cs="Times New Roman"/>
          <w:sz w:val="28"/>
          <w:szCs w:val="28"/>
        </w:rPr>
        <w:t>un</w:t>
      </w:r>
      <w:r w:rsidR="0059019A" w:rsidRPr="006B4374">
        <w:rPr>
          <w:rFonts w:ascii="Times New Roman" w:hAnsi="Times New Roman" w:cs="Times New Roman"/>
          <w:sz w:val="28"/>
          <w:szCs w:val="28"/>
        </w:rPr>
        <w:t xml:space="preserve">es, </w:t>
      </w:r>
      <w:r w:rsidRPr="006B4374">
        <w:rPr>
          <w:rFonts w:ascii="Times New Roman" w:hAnsi="Times New Roman" w:cs="Times New Roman"/>
          <w:sz w:val="28"/>
          <w:szCs w:val="28"/>
        </w:rPr>
        <w:t>hemorragia alveolar, neumonitis tóxica</w:t>
      </w:r>
    </w:p>
    <w:p w:rsidR="00A4189D" w:rsidRPr="006B4374" w:rsidRDefault="00A77A70" w:rsidP="00A4189D">
      <w:pPr>
        <w:pStyle w:val="Textoindependienteprimerasangra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 xml:space="preserve">Insuficiencia </w:t>
      </w:r>
      <w:r w:rsidR="00A4189D" w:rsidRPr="006B4374">
        <w:rPr>
          <w:rFonts w:ascii="Times New Roman" w:hAnsi="Times New Roman" w:cs="Times New Roman"/>
          <w:sz w:val="28"/>
          <w:szCs w:val="28"/>
        </w:rPr>
        <w:t>respiratoria tipo 2</w:t>
      </w:r>
    </w:p>
    <w:p w:rsidR="00A4189D" w:rsidRPr="006B4374" w:rsidRDefault="00A4189D" w:rsidP="00A4189D">
      <w:pPr>
        <w:pStyle w:val="Textoindependienteprimerasangra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NAC grave</w:t>
      </w:r>
    </w:p>
    <w:p w:rsidR="00A4189D" w:rsidRPr="006B4374" w:rsidRDefault="00A4189D" w:rsidP="00A4189D">
      <w:pPr>
        <w:pStyle w:val="Textoindependienteprimerasangra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Tóxica (depresores del SNC)</w:t>
      </w:r>
    </w:p>
    <w:p w:rsidR="00A4189D" w:rsidRPr="006B4374" w:rsidRDefault="00A4189D" w:rsidP="00A4189D">
      <w:pPr>
        <w:pStyle w:val="Textoindependienteprimerasangra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 xml:space="preserve">Hipotiroidismo/coma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mixedematoso</w:t>
      </w:r>
      <w:proofErr w:type="spellEnd"/>
    </w:p>
    <w:p w:rsidR="00A4189D" w:rsidRPr="006B4374" w:rsidRDefault="00A4189D" w:rsidP="00A4189D">
      <w:pPr>
        <w:pStyle w:val="Textoindependienteprimerasangra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SAHOS</w:t>
      </w:r>
    </w:p>
    <w:p w:rsidR="00A4189D" w:rsidRPr="006B4374" w:rsidRDefault="00A4189D" w:rsidP="00A4189D">
      <w:pPr>
        <w:pStyle w:val="Textoindependienteprimerasangra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Hipoventilación alveolar central</w:t>
      </w:r>
    </w:p>
    <w:p w:rsidR="00A4189D" w:rsidRPr="006B4374" w:rsidRDefault="00A4189D" w:rsidP="00A4189D">
      <w:pPr>
        <w:pStyle w:val="Textoindependienteprimerasangra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 xml:space="preserve">Estenosis traqueal post intubación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orotraqueal</w:t>
      </w:r>
      <w:proofErr w:type="spellEnd"/>
    </w:p>
    <w:p w:rsidR="00A77A70" w:rsidRPr="006B4374" w:rsidRDefault="00A77A70" w:rsidP="00641860">
      <w:pPr>
        <w:pStyle w:val="Textoindependienteprimerasangra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Insuficiencia Cardíaca</w:t>
      </w:r>
    </w:p>
    <w:p w:rsidR="00A77A70" w:rsidRPr="006B4374" w:rsidRDefault="00A77A70" w:rsidP="00A77A70">
      <w:pPr>
        <w:pStyle w:val="Textoindependienteprimerasangra"/>
        <w:spacing w:before="120"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20A2C" w:rsidRPr="006B4374" w:rsidRDefault="00641860" w:rsidP="00B20A2C">
      <w:pPr>
        <w:pStyle w:val="Textoindependienteprimerasangra"/>
        <w:spacing w:before="120" w:after="120"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B43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Evolución</w:t>
      </w:r>
    </w:p>
    <w:p w:rsidR="006B4374" w:rsidRDefault="00B20A2C" w:rsidP="008C3318">
      <w:pPr>
        <w:pStyle w:val="Textoindependienteprimerasangra"/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 xml:space="preserve">Luego de 24 horas logra ser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extubada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con mejoría de la oxemia pero manteniéndose con hipercapnia notable, la cual es mayor durante el sueño, momento en el cual se evidencia mayor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desaturación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>. Permanece con requerimiento de VNI.</w:t>
      </w:r>
      <w:r w:rsidR="00677978" w:rsidRPr="006B4374">
        <w:rPr>
          <w:rFonts w:ascii="Times New Roman" w:hAnsi="Times New Roman" w:cs="Times New Roman"/>
          <w:sz w:val="28"/>
          <w:szCs w:val="28"/>
        </w:rPr>
        <w:t xml:space="preserve"> </w:t>
      </w:r>
      <w:r w:rsidRPr="006B4374">
        <w:rPr>
          <w:rFonts w:ascii="Times New Roman" w:hAnsi="Times New Roman" w:cs="Times New Roman"/>
          <w:sz w:val="28"/>
          <w:szCs w:val="28"/>
        </w:rPr>
        <w:t>E</w:t>
      </w:r>
      <w:r w:rsidR="00AC787F" w:rsidRPr="006B4374">
        <w:rPr>
          <w:rFonts w:ascii="Times New Roman" w:hAnsi="Times New Roman" w:cs="Times New Roman"/>
          <w:sz w:val="28"/>
          <w:szCs w:val="28"/>
        </w:rPr>
        <w:t xml:space="preserve">s notable la buena tolerancia ya que </w:t>
      </w:r>
      <w:r w:rsidRPr="006B4374">
        <w:rPr>
          <w:rFonts w:ascii="Times New Roman" w:hAnsi="Times New Roman" w:cs="Times New Roman"/>
          <w:sz w:val="28"/>
          <w:szCs w:val="28"/>
        </w:rPr>
        <w:t>no ref</w:t>
      </w:r>
      <w:r w:rsidR="00AC787F" w:rsidRPr="006B4374">
        <w:rPr>
          <w:rFonts w:ascii="Times New Roman" w:hAnsi="Times New Roman" w:cs="Times New Roman"/>
          <w:sz w:val="28"/>
          <w:szCs w:val="28"/>
        </w:rPr>
        <w:t>iere</w:t>
      </w:r>
      <w:r w:rsidRPr="006B4374">
        <w:rPr>
          <w:rFonts w:ascii="Times New Roman" w:hAnsi="Times New Roman" w:cs="Times New Roman"/>
          <w:sz w:val="28"/>
          <w:szCs w:val="28"/>
        </w:rPr>
        <w:t xml:space="preserve"> los típicos síntomas </w:t>
      </w:r>
      <w:r w:rsidR="006B4374">
        <w:rPr>
          <w:rFonts w:ascii="Times New Roman" w:hAnsi="Times New Roman" w:cs="Times New Roman"/>
          <w:sz w:val="28"/>
          <w:szCs w:val="28"/>
        </w:rPr>
        <w:t xml:space="preserve"> </w:t>
      </w:r>
      <w:r w:rsidR="006B4374" w:rsidRPr="006B4374">
        <w:rPr>
          <w:rFonts w:ascii="Times New Roman" w:hAnsi="Times New Roman" w:cs="Times New Roman"/>
          <w:sz w:val="28"/>
          <w:szCs w:val="28"/>
        </w:rPr>
        <w:t xml:space="preserve">relacionados con la hipercapnia (cefaleas, somnolencia, </w:t>
      </w:r>
    </w:p>
    <w:p w:rsidR="006B4374" w:rsidRDefault="006B4374" w:rsidP="008C3318">
      <w:pPr>
        <w:pStyle w:val="Textoindependienteprimerasangra"/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374">
        <w:rPr>
          <w:rFonts w:ascii="Times New Roman" w:hAnsi="Times New Roman" w:cs="Times New Roman"/>
          <w:sz w:val="28"/>
          <w:szCs w:val="28"/>
        </w:rPr>
        <w:t>mareos</w:t>
      </w:r>
      <w:proofErr w:type="gramEnd"/>
      <w:r w:rsidRPr="006B43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>).</w:t>
      </w:r>
    </w:p>
    <w:p w:rsidR="006B4374" w:rsidRDefault="006B4374" w:rsidP="008C3318">
      <w:pPr>
        <w:pStyle w:val="Textoindependienteprimerasangra"/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374" w:rsidRDefault="006B4374" w:rsidP="00B20A2C">
      <w:pPr>
        <w:pStyle w:val="Textoindependienteprimerasangra"/>
        <w:spacing w:before="120" w:after="12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B4374" w:rsidRDefault="006B4374" w:rsidP="00B20A2C">
      <w:pPr>
        <w:pStyle w:val="Textoindependienteprimerasangra"/>
        <w:spacing w:before="120" w:after="12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77978" w:rsidRDefault="00677978" w:rsidP="00B20A2C">
      <w:pPr>
        <w:pStyle w:val="Textoindependienteprimerasangra"/>
        <w:spacing w:before="120" w:after="120" w:line="360" w:lineRule="auto"/>
        <w:ind w:firstLine="426"/>
      </w:pPr>
      <w:r w:rsidRPr="007C3744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F01B504" wp14:editId="5F8A35F0">
            <wp:simplePos x="0" y="0"/>
            <wp:positionH relativeFrom="column">
              <wp:posOffset>1195705</wp:posOffset>
            </wp:positionH>
            <wp:positionV relativeFrom="paragraph">
              <wp:posOffset>-362585</wp:posOffset>
            </wp:positionV>
            <wp:extent cx="3348990" cy="2455545"/>
            <wp:effectExtent l="0" t="0" r="3810" b="1905"/>
            <wp:wrapTopAndBottom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68E" w:rsidRPr="006B4374" w:rsidRDefault="0003768E" w:rsidP="0003768E">
      <w:pPr>
        <w:pStyle w:val="Epgrafe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6B4374">
        <w:rPr>
          <w:rFonts w:ascii="Times New Roman" w:hAnsi="Times New Roman" w:cs="Times New Roman"/>
          <w:color w:val="auto"/>
          <w:sz w:val="22"/>
          <w:szCs w:val="22"/>
        </w:rPr>
        <w:t>Fig</w:t>
      </w:r>
      <w:proofErr w:type="spellEnd"/>
      <w:r w:rsidRPr="006B43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23143" w:rsidRPr="006B4374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B4374">
        <w:rPr>
          <w:rFonts w:ascii="Times New Roman" w:hAnsi="Times New Roman" w:cs="Times New Roman"/>
          <w:color w:val="auto"/>
          <w:sz w:val="22"/>
          <w:szCs w:val="22"/>
        </w:rPr>
        <w:t>. EAB durante la internación</w:t>
      </w:r>
    </w:p>
    <w:p w:rsidR="00A74A66" w:rsidRDefault="00A74A66" w:rsidP="00ED74F9">
      <w:pPr>
        <w:pStyle w:val="Textoindependienteprimerasangra"/>
        <w:spacing w:before="120" w:after="120" w:line="360" w:lineRule="auto"/>
      </w:pPr>
    </w:p>
    <w:p w:rsidR="00ED74F9" w:rsidRPr="006B4374" w:rsidRDefault="00ED74F9" w:rsidP="008C3318">
      <w:pPr>
        <w:pStyle w:val="Textoindependienteprimerasangra"/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Luego de cuatro semanas presenta estabilidad hemodinámica, con buena mecánica ventilatoria, si</w:t>
      </w:r>
      <w:bookmarkStart w:id="0" w:name="_GoBack"/>
      <w:bookmarkEnd w:id="0"/>
      <w:r w:rsidRPr="006B4374">
        <w:rPr>
          <w:rFonts w:ascii="Times New Roman" w:hAnsi="Times New Roman" w:cs="Times New Roman"/>
          <w:sz w:val="28"/>
          <w:szCs w:val="28"/>
        </w:rPr>
        <w:t xml:space="preserve">n requerimiento de aporte de oxígeno suplementario, </w:t>
      </w:r>
      <w:r w:rsidRPr="006B4374">
        <w:rPr>
          <w:rFonts w:ascii="Times New Roman" w:hAnsi="Times New Roman" w:cs="Times New Roman"/>
          <w:sz w:val="28"/>
          <w:szCs w:val="28"/>
        </w:rPr>
        <w:lastRenderedPageBreak/>
        <w:t xml:space="preserve">con mejoría gasométrica </w:t>
      </w:r>
      <w:r w:rsidR="0052340E" w:rsidRPr="006B4374">
        <w:rPr>
          <w:rFonts w:ascii="Times New Roman" w:hAnsi="Times New Roman" w:cs="Times New Roman"/>
          <w:sz w:val="28"/>
          <w:szCs w:val="28"/>
        </w:rPr>
        <w:t xml:space="preserve">y </w:t>
      </w:r>
      <w:r w:rsidRPr="006B4374">
        <w:rPr>
          <w:rFonts w:ascii="Times New Roman" w:hAnsi="Times New Roman" w:cs="Times New Roman"/>
          <w:sz w:val="28"/>
          <w:szCs w:val="28"/>
        </w:rPr>
        <w:t>normalización de la CO2 dependiente de VNI nocturna.</w:t>
      </w:r>
    </w:p>
    <w:p w:rsidR="0003768E" w:rsidRDefault="0003768E" w:rsidP="0003768E">
      <w:pPr>
        <w:pStyle w:val="Textoindependienteprimerasangra"/>
        <w:keepNext/>
        <w:spacing w:before="120" w:after="120" w:line="360" w:lineRule="auto"/>
        <w:jc w:val="center"/>
      </w:pPr>
      <w:r w:rsidRPr="0003768E">
        <w:rPr>
          <w:noProof/>
          <w:lang w:eastAsia="es-AR"/>
        </w:rPr>
        <w:drawing>
          <wp:inline distT="0" distB="0" distL="0" distR="0" wp14:anchorId="54443012" wp14:editId="56F5145B">
            <wp:extent cx="3500462" cy="2357454"/>
            <wp:effectExtent l="0" t="0" r="5080" b="508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744" w:rsidRPr="006B4374" w:rsidRDefault="00C23143" w:rsidP="0003768E">
      <w:pPr>
        <w:pStyle w:val="Epgrafe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6B4374">
        <w:rPr>
          <w:rFonts w:ascii="Times New Roman" w:hAnsi="Times New Roman" w:cs="Times New Roman"/>
          <w:color w:val="auto"/>
          <w:sz w:val="20"/>
          <w:szCs w:val="20"/>
        </w:rPr>
        <w:t>Fig</w:t>
      </w:r>
      <w:proofErr w:type="spellEnd"/>
      <w:r w:rsidRPr="006B4374">
        <w:rPr>
          <w:rFonts w:ascii="Times New Roman" w:hAnsi="Times New Roman" w:cs="Times New Roman"/>
          <w:color w:val="auto"/>
          <w:sz w:val="20"/>
          <w:szCs w:val="20"/>
        </w:rPr>
        <w:t xml:space="preserve"> 3</w:t>
      </w:r>
      <w:r w:rsidR="0003768E" w:rsidRPr="006B4374">
        <w:rPr>
          <w:rFonts w:ascii="Times New Roman" w:hAnsi="Times New Roman" w:cs="Times New Roman"/>
          <w:color w:val="auto"/>
          <w:sz w:val="20"/>
          <w:szCs w:val="20"/>
        </w:rPr>
        <w:t>.EAB al alta</w:t>
      </w:r>
    </w:p>
    <w:p w:rsidR="00CC18B6" w:rsidRPr="00CC18B6" w:rsidRDefault="00CC18B6" w:rsidP="00CC18B6"/>
    <w:p w:rsidR="007717B5" w:rsidRPr="006B4374" w:rsidRDefault="007717B5" w:rsidP="00A77A70">
      <w:pPr>
        <w:pStyle w:val="Ttulo3"/>
        <w:spacing w:before="120" w:after="120"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B4374">
        <w:rPr>
          <w:rFonts w:ascii="Times New Roman" w:hAnsi="Times New Roman" w:cs="Times New Roman"/>
          <w:color w:val="auto"/>
          <w:sz w:val="28"/>
          <w:szCs w:val="28"/>
          <w:u w:val="single"/>
        </w:rPr>
        <w:t>Estudios realizados:</w:t>
      </w:r>
    </w:p>
    <w:p w:rsidR="007C3744" w:rsidRPr="006B4374" w:rsidRDefault="007C3744" w:rsidP="007C3744">
      <w:pPr>
        <w:pStyle w:val="Listaconvietas2"/>
        <w:numPr>
          <w:ilvl w:val="0"/>
          <w:numId w:val="10"/>
        </w:numPr>
        <w:spacing w:before="120" w:after="12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Radi</w:t>
      </w:r>
      <w:r w:rsidR="00697A1B" w:rsidRPr="006B4374">
        <w:rPr>
          <w:rFonts w:ascii="Times New Roman" w:hAnsi="Times New Roman" w:cs="Times New Roman"/>
          <w:sz w:val="28"/>
          <w:szCs w:val="28"/>
          <w:u w:val="single"/>
        </w:rPr>
        <w:t xml:space="preserve">ografía y </w:t>
      </w:r>
      <w:proofErr w:type="spellStart"/>
      <w:r w:rsidR="00697A1B" w:rsidRPr="006B4374">
        <w:rPr>
          <w:rFonts w:ascii="Times New Roman" w:hAnsi="Times New Roman" w:cs="Times New Roman"/>
          <w:sz w:val="28"/>
          <w:szCs w:val="28"/>
          <w:u w:val="single"/>
        </w:rPr>
        <w:t>tomografìa</w:t>
      </w:r>
      <w:proofErr w:type="spellEnd"/>
      <w:r w:rsidR="00697A1B" w:rsidRPr="006B4374">
        <w:rPr>
          <w:rFonts w:ascii="Times New Roman" w:hAnsi="Times New Roman" w:cs="Times New Roman"/>
          <w:sz w:val="28"/>
          <w:szCs w:val="28"/>
          <w:u w:val="single"/>
        </w:rPr>
        <w:t xml:space="preserve"> de tórax:</w:t>
      </w:r>
      <w:r w:rsidR="00697A1B" w:rsidRPr="006B4374">
        <w:rPr>
          <w:rFonts w:ascii="Times New Roman" w:hAnsi="Times New Roman" w:cs="Times New Roman"/>
          <w:sz w:val="28"/>
          <w:szCs w:val="28"/>
        </w:rPr>
        <w:t xml:space="preserve"> ICT 0,55, hilios congestivos, resto </w:t>
      </w:r>
      <w:proofErr w:type="spellStart"/>
      <w:r w:rsidR="00697A1B" w:rsidRPr="006B4374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>.</w:t>
      </w:r>
    </w:p>
    <w:p w:rsidR="007717B5" w:rsidRPr="006B4374" w:rsidRDefault="007717B5" w:rsidP="007C3744">
      <w:pPr>
        <w:pStyle w:val="Textoindependienteprimerasangra"/>
        <w:numPr>
          <w:ilvl w:val="0"/>
          <w:numId w:val="10"/>
        </w:numPr>
        <w:spacing w:before="120" w:after="12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Ecocardiograma:</w:t>
      </w:r>
      <w:r w:rsidRPr="006B4374">
        <w:rPr>
          <w:rFonts w:ascii="Times New Roman" w:hAnsi="Times New Roman" w:cs="Times New Roman"/>
          <w:sz w:val="28"/>
          <w:szCs w:val="28"/>
        </w:rPr>
        <w:t xml:space="preserve"> Función sistólica de ventrículo izquierdo normal, con ventrículo derecho no dilatado, Insuficiencia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tricuspídea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leve con presión sistólica arterial pulmonar de 48mmHg.</w:t>
      </w:r>
    </w:p>
    <w:p w:rsidR="007C3744" w:rsidRPr="006B4374" w:rsidRDefault="007717B5" w:rsidP="00136748">
      <w:pPr>
        <w:pStyle w:val="Lista2"/>
        <w:numPr>
          <w:ilvl w:val="0"/>
          <w:numId w:val="10"/>
        </w:numPr>
        <w:spacing w:before="120" w:after="12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TSH y T4L:</w:t>
      </w:r>
      <w:r w:rsidRPr="006B4374">
        <w:rPr>
          <w:rFonts w:ascii="Times New Roman" w:hAnsi="Times New Roman" w:cs="Times New Roman"/>
          <w:sz w:val="28"/>
          <w:szCs w:val="28"/>
        </w:rPr>
        <w:t xml:space="preserve"> normal. </w:t>
      </w:r>
    </w:p>
    <w:p w:rsidR="000F3006" w:rsidRPr="006B4374" w:rsidRDefault="000F3006" w:rsidP="00136748">
      <w:pPr>
        <w:pStyle w:val="Lista2"/>
        <w:numPr>
          <w:ilvl w:val="0"/>
          <w:numId w:val="10"/>
        </w:numPr>
        <w:spacing w:before="120" w:after="12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6B4374">
        <w:rPr>
          <w:rFonts w:ascii="Times New Roman" w:hAnsi="Times New Roman" w:cs="Times New Roman"/>
          <w:sz w:val="28"/>
          <w:szCs w:val="28"/>
          <w:u w:val="single"/>
        </w:rPr>
        <w:t>Fibrobroncoscopía</w:t>
      </w:r>
      <w:proofErr w:type="spellEnd"/>
      <w:r w:rsidRPr="006B437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B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Traqueomalacia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leve de 1/3 inferior</w:t>
      </w:r>
    </w:p>
    <w:p w:rsidR="007717B5" w:rsidRPr="006B4374" w:rsidRDefault="007717B5" w:rsidP="007C3744">
      <w:pPr>
        <w:pStyle w:val="Sangradetextonormal"/>
        <w:numPr>
          <w:ilvl w:val="0"/>
          <w:numId w:val="10"/>
        </w:numPr>
        <w:spacing w:before="120" w:line="360" w:lineRule="auto"/>
        <w:ind w:left="1276"/>
        <w:rPr>
          <w:rFonts w:ascii="Times New Roman" w:hAnsi="Times New Roman" w:cs="Times New Roman"/>
          <w:sz w:val="28"/>
          <w:szCs w:val="28"/>
          <w:u w:val="single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Funcional respiratorio:</w:t>
      </w:r>
    </w:p>
    <w:p w:rsidR="007717B5" w:rsidRPr="006B4374" w:rsidRDefault="007717B5" w:rsidP="007C3744">
      <w:pPr>
        <w:pStyle w:val="Listaconvietas2"/>
        <w:tabs>
          <w:tab w:val="clear" w:pos="643"/>
        </w:tabs>
        <w:spacing w:before="120" w:after="12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6B4374">
        <w:rPr>
          <w:rFonts w:ascii="Times New Roman" w:hAnsi="Times New Roman" w:cs="Times New Roman"/>
          <w:sz w:val="28"/>
          <w:szCs w:val="28"/>
        </w:rPr>
        <w:t>Espirometría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>, presiones bucales máximas inspiratorias y espiratorias, ventilación voluntaria máxima y difusión de monóxido de carbono: normales</w:t>
      </w:r>
    </w:p>
    <w:p w:rsidR="007717B5" w:rsidRPr="006B4374" w:rsidRDefault="007717B5" w:rsidP="007C3744">
      <w:pPr>
        <w:pStyle w:val="Listaconvietas2"/>
        <w:tabs>
          <w:tab w:val="clear" w:pos="643"/>
        </w:tabs>
        <w:spacing w:before="120" w:after="12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lastRenderedPageBreak/>
        <w:t xml:space="preserve">Capacidad pulmonar total: resistencia de la vía aérea aumentada. Resto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>.</w:t>
      </w:r>
    </w:p>
    <w:p w:rsidR="007717B5" w:rsidRPr="006B4374" w:rsidRDefault="007717B5" w:rsidP="007C3744">
      <w:pPr>
        <w:pStyle w:val="Listaconvietas2"/>
        <w:numPr>
          <w:ilvl w:val="0"/>
          <w:numId w:val="11"/>
        </w:numPr>
        <w:spacing w:before="120" w:after="120" w:line="36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Test de apnea</w:t>
      </w:r>
      <w:r w:rsidRPr="006B4374">
        <w:rPr>
          <w:rFonts w:ascii="Times New Roman" w:hAnsi="Times New Roman" w:cs="Times New Roman"/>
          <w:sz w:val="28"/>
          <w:szCs w:val="28"/>
        </w:rPr>
        <w:t>: 77 segundos.</w:t>
      </w:r>
    </w:p>
    <w:p w:rsidR="00CC18B6" w:rsidRDefault="00CC18B6" w:rsidP="00CC18B6">
      <w:pPr>
        <w:pStyle w:val="Listaconvietas2"/>
        <w:numPr>
          <w:ilvl w:val="0"/>
          <w:numId w:val="0"/>
        </w:numPr>
        <w:spacing w:before="120" w:after="120" w:line="360" w:lineRule="auto"/>
        <w:ind w:left="1276"/>
      </w:pPr>
    </w:p>
    <w:tbl>
      <w:tblPr>
        <w:tblStyle w:val="Cuadrculamedia2-nfasis5"/>
        <w:tblW w:w="9359" w:type="dxa"/>
        <w:tblLook w:val="06A0" w:firstRow="1" w:lastRow="0" w:firstColumn="1" w:lastColumn="0" w:noHBand="1" w:noVBand="1"/>
      </w:tblPr>
      <w:tblGrid>
        <w:gridCol w:w="3119"/>
        <w:gridCol w:w="3120"/>
        <w:gridCol w:w="3120"/>
      </w:tblGrid>
      <w:tr w:rsidR="00A74A66" w:rsidRPr="00A74A66" w:rsidTr="007A1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POLISOMNOGRAFÍA BASAL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8" w:space="0" w:color="4BACC6" w:themeColor="accent5"/>
              <w:right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POLISOMNOGRAFÍA CON BIPAP</w:t>
            </w:r>
          </w:p>
        </w:tc>
      </w:tr>
      <w:tr w:rsidR="00A74A66" w:rsidRPr="00A74A66" w:rsidTr="007A180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Índice de disturbios respiratorios</w:t>
            </w:r>
          </w:p>
        </w:tc>
        <w:tc>
          <w:tcPr>
            <w:tcW w:w="3120" w:type="dxa"/>
            <w:tcBorders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 xml:space="preserve">4/h con presencia de </w:t>
            </w:r>
            <w:proofErr w:type="spellStart"/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hipoapneas</w:t>
            </w:r>
            <w:proofErr w:type="spellEnd"/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 xml:space="preserve"> y apneas obstructivas</w:t>
            </w:r>
          </w:p>
        </w:tc>
        <w:tc>
          <w:tcPr>
            <w:tcW w:w="3120" w:type="dxa"/>
            <w:tcBorders>
              <w:bottom w:val="single" w:sz="8" w:space="0" w:color="4BACC6" w:themeColor="accent5"/>
              <w:right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0%</w:t>
            </w:r>
          </w:p>
        </w:tc>
      </w:tr>
      <w:tr w:rsidR="00A74A66" w:rsidRPr="00A74A66" w:rsidTr="007A180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Ronquidos</w:t>
            </w:r>
          </w:p>
        </w:tc>
        <w:tc>
          <w:tcPr>
            <w:tcW w:w="3120" w:type="dxa"/>
            <w:tcBorders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Ronquidos de intensidad fuerte</w:t>
            </w:r>
          </w:p>
        </w:tc>
        <w:tc>
          <w:tcPr>
            <w:tcW w:w="3120" w:type="dxa"/>
            <w:tcBorders>
              <w:bottom w:val="single" w:sz="8" w:space="0" w:color="4BACC6" w:themeColor="accent5"/>
              <w:right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ausencia de ronquidos</w:t>
            </w:r>
          </w:p>
        </w:tc>
      </w:tr>
      <w:tr w:rsidR="00A74A66" w:rsidRPr="00A74A66" w:rsidTr="007A180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Oximetría basal despierto</w:t>
            </w:r>
          </w:p>
        </w:tc>
        <w:tc>
          <w:tcPr>
            <w:tcW w:w="3120" w:type="dxa"/>
            <w:tcBorders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98%</w:t>
            </w:r>
          </w:p>
        </w:tc>
        <w:tc>
          <w:tcPr>
            <w:tcW w:w="3120" w:type="dxa"/>
            <w:tcBorders>
              <w:bottom w:val="single" w:sz="8" w:space="0" w:color="4BACC6" w:themeColor="accent5"/>
              <w:right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98%</w:t>
            </w:r>
          </w:p>
        </w:tc>
      </w:tr>
      <w:tr w:rsidR="00A74A66" w:rsidRPr="00A74A66" w:rsidTr="007A180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Oximetría basal dormido</w:t>
            </w:r>
          </w:p>
        </w:tc>
        <w:tc>
          <w:tcPr>
            <w:tcW w:w="3120" w:type="dxa"/>
            <w:tcBorders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80%</w:t>
            </w:r>
          </w:p>
        </w:tc>
        <w:tc>
          <w:tcPr>
            <w:tcW w:w="3120" w:type="dxa"/>
            <w:tcBorders>
              <w:bottom w:val="single" w:sz="8" w:space="0" w:color="4BACC6" w:themeColor="accent5"/>
              <w:right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92%</w:t>
            </w:r>
          </w:p>
        </w:tc>
      </w:tr>
      <w:tr w:rsidR="00A74A66" w:rsidRPr="00A74A66" w:rsidTr="007A180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Oximetría basal mínima</w:t>
            </w:r>
          </w:p>
        </w:tc>
        <w:tc>
          <w:tcPr>
            <w:tcW w:w="3120" w:type="dxa"/>
            <w:tcBorders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67%</w:t>
            </w:r>
          </w:p>
        </w:tc>
        <w:tc>
          <w:tcPr>
            <w:tcW w:w="3120" w:type="dxa"/>
            <w:tcBorders>
              <w:bottom w:val="single" w:sz="8" w:space="0" w:color="4BACC6" w:themeColor="accent5"/>
              <w:right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86%</w:t>
            </w:r>
          </w:p>
        </w:tc>
      </w:tr>
      <w:tr w:rsidR="00A74A66" w:rsidRPr="00A74A66" w:rsidTr="007A180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 xml:space="preserve">Índice de </w:t>
            </w:r>
            <w:proofErr w:type="spellStart"/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desaturaciones</w:t>
            </w:r>
            <w:proofErr w:type="spellEnd"/>
          </w:p>
        </w:tc>
        <w:tc>
          <w:tcPr>
            <w:tcW w:w="3120" w:type="dxa"/>
            <w:tcBorders>
              <w:bottom w:val="single" w:sz="8" w:space="0" w:color="4BACC6" w:themeColor="accent5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13/h</w:t>
            </w:r>
          </w:p>
        </w:tc>
        <w:tc>
          <w:tcPr>
            <w:tcW w:w="3120" w:type="dxa"/>
            <w:tcBorders>
              <w:bottom w:val="single" w:sz="8" w:space="0" w:color="4BACC6" w:themeColor="accent5"/>
              <w:right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5/h</w:t>
            </w:r>
          </w:p>
        </w:tc>
      </w:tr>
      <w:tr w:rsidR="00A74A66" w:rsidRPr="00A74A66" w:rsidTr="007A180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74A66" w:rsidRPr="00A74A66" w:rsidRDefault="00A74A66" w:rsidP="007A1805">
            <w:pPr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% de tiempo con SatO2 &lt;90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96%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74A66" w:rsidRPr="00A74A66" w:rsidRDefault="00A74A66" w:rsidP="007A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A74A66">
              <w:rPr>
                <w:rFonts w:ascii="Verdana" w:eastAsia="Times New Roman" w:hAnsi="Verdana" w:cs="Arial"/>
                <w:kern w:val="24"/>
                <w:sz w:val="18"/>
                <w:szCs w:val="18"/>
                <w:lang w:eastAsia="es-AR"/>
              </w:rPr>
              <w:t>4%</w:t>
            </w:r>
          </w:p>
        </w:tc>
      </w:tr>
    </w:tbl>
    <w:p w:rsidR="00A74A66" w:rsidRDefault="00A74A66" w:rsidP="00A74A66">
      <w:pPr>
        <w:pStyle w:val="Listaconvietas2"/>
        <w:numPr>
          <w:ilvl w:val="0"/>
          <w:numId w:val="0"/>
        </w:numPr>
        <w:spacing w:before="120" w:after="120" w:line="360" w:lineRule="auto"/>
        <w:ind w:left="643" w:hanging="360"/>
      </w:pPr>
    </w:p>
    <w:p w:rsidR="00C70AAD" w:rsidRDefault="00C70AAD" w:rsidP="00A77A70">
      <w:pPr>
        <w:pStyle w:val="Textoindependienteprimerasangra"/>
        <w:spacing w:before="120" w:after="120" w:line="360" w:lineRule="auto"/>
        <w:rPr>
          <w:u w:val="single"/>
        </w:rPr>
      </w:pPr>
      <w:r w:rsidRPr="00C70AAD">
        <w:rPr>
          <w:noProof/>
          <w:u w:val="single"/>
          <w:lang w:eastAsia="es-AR"/>
        </w:rPr>
        <w:drawing>
          <wp:inline distT="0" distB="0" distL="0" distR="0" wp14:anchorId="6895A98E" wp14:editId="5096A1A0">
            <wp:extent cx="4176464" cy="2736304"/>
            <wp:effectExtent l="0" t="0" r="14605" b="2603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0AAD" w:rsidRDefault="00C70AAD" w:rsidP="00A77A70">
      <w:pPr>
        <w:pStyle w:val="Textoindependienteprimerasangra"/>
        <w:spacing w:before="120" w:after="120" w:line="360" w:lineRule="auto"/>
        <w:rPr>
          <w:u w:val="single"/>
        </w:rPr>
      </w:pPr>
      <w:r w:rsidRPr="00C70AAD">
        <w:rPr>
          <w:noProof/>
          <w:u w:val="single"/>
          <w:lang w:eastAsia="es-AR"/>
        </w:rPr>
        <w:lastRenderedPageBreak/>
        <w:drawing>
          <wp:inline distT="0" distB="0" distL="0" distR="0" wp14:anchorId="3DC34653" wp14:editId="076DB7C5">
            <wp:extent cx="3222104" cy="2739752"/>
            <wp:effectExtent l="0" t="0" r="16510" b="2286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09C4" w:rsidRPr="006B4374" w:rsidRDefault="008E09C4" w:rsidP="008E09C4">
      <w:pPr>
        <w:pStyle w:val="Textoindependienteprimerasangra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Presión de oclusión (p0.1):</w:t>
      </w:r>
      <w:r w:rsidRPr="006B4374">
        <w:rPr>
          <w:rFonts w:ascii="Times New Roman" w:hAnsi="Times New Roman" w:cs="Times New Roman"/>
          <w:sz w:val="28"/>
          <w:szCs w:val="28"/>
        </w:rPr>
        <w:t xml:space="preserve"> curva plana</w:t>
      </w:r>
    </w:p>
    <w:p w:rsidR="00DC6E11" w:rsidRPr="006B4374" w:rsidRDefault="00DC6E11" w:rsidP="008E09C4">
      <w:pPr>
        <w:pStyle w:val="Textoindependienteprimerasangra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8E09C4" w:rsidRPr="006B4374" w:rsidRDefault="008E09C4" w:rsidP="008E09C4">
      <w:pPr>
        <w:pStyle w:val="Textoindependienteprimerasangra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 xml:space="preserve">Habiendo diagnosticado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sindrome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de hipoventilación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alvelolar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>, se procede a descartar las posibles causas secundarias:</w:t>
      </w:r>
    </w:p>
    <w:p w:rsidR="008E09C4" w:rsidRPr="006B4374" w:rsidRDefault="0049134C" w:rsidP="008E09C4">
      <w:pPr>
        <w:pStyle w:val="Textoindependienteprimerasangra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 xml:space="preserve">TC y </w:t>
      </w:r>
      <w:r w:rsidR="008E09C4" w:rsidRPr="006B4374">
        <w:rPr>
          <w:rFonts w:ascii="Times New Roman" w:hAnsi="Times New Roman" w:cs="Times New Roman"/>
          <w:sz w:val="28"/>
          <w:szCs w:val="28"/>
          <w:u w:val="single"/>
        </w:rPr>
        <w:t>RMN de encéfalo:</w:t>
      </w:r>
      <w:r w:rsidR="008E09C4" w:rsidRPr="006B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="008E09C4" w:rsidRPr="006B4374">
        <w:rPr>
          <w:rFonts w:ascii="Times New Roman" w:hAnsi="Times New Roman" w:cs="Times New Roman"/>
          <w:sz w:val="28"/>
          <w:szCs w:val="28"/>
        </w:rPr>
        <w:t>.</w:t>
      </w:r>
    </w:p>
    <w:p w:rsidR="00386286" w:rsidRPr="006B4374" w:rsidRDefault="00386286" w:rsidP="00386286">
      <w:pPr>
        <w:pStyle w:val="Textoindependienteprimerasangra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Evaluación neurológica y oftalmológica</w:t>
      </w:r>
      <w:r w:rsidRPr="006B43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>.</w:t>
      </w:r>
    </w:p>
    <w:p w:rsidR="00386286" w:rsidRPr="006B4374" w:rsidRDefault="00386286" w:rsidP="00386286">
      <w:pPr>
        <w:pStyle w:val="Textoindependienteprimerasangra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Evaluación metabólica</w:t>
      </w:r>
      <w:r w:rsidRPr="006B43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Dosaje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carnitina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, amonio, CPK, LDH y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aldolasa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séricos normales. Cromatografía de ácidos orgánicos urinarios normal.</w:t>
      </w:r>
    </w:p>
    <w:p w:rsidR="008E09C4" w:rsidRPr="006B4374" w:rsidRDefault="008E09C4" w:rsidP="008E09C4">
      <w:pPr>
        <w:pStyle w:val="Textoindependienteprimerasangra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374">
        <w:rPr>
          <w:rFonts w:ascii="Times New Roman" w:hAnsi="Times New Roman" w:cs="Times New Roman"/>
          <w:sz w:val="28"/>
          <w:szCs w:val="28"/>
          <w:u w:val="single"/>
        </w:rPr>
        <w:t>Holter</w:t>
      </w:r>
      <w:proofErr w:type="spellEnd"/>
      <w:r w:rsidRPr="006B437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B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Extrasistolia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auricular escasa y aisladas. Resto s/p.</w:t>
      </w:r>
    </w:p>
    <w:p w:rsidR="008E09C4" w:rsidRPr="006B4374" w:rsidRDefault="008E09C4" w:rsidP="008E09C4">
      <w:pPr>
        <w:pStyle w:val="Textoindependienteprimerasangra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4374">
        <w:rPr>
          <w:rFonts w:ascii="Times New Roman" w:hAnsi="Times New Roman" w:cs="Times New Roman"/>
          <w:sz w:val="28"/>
          <w:szCs w:val="28"/>
          <w:u w:val="single"/>
        </w:rPr>
        <w:t>Electromiograma</w:t>
      </w:r>
      <w:proofErr w:type="spellEnd"/>
      <w:r w:rsidRPr="006B4374">
        <w:rPr>
          <w:rFonts w:ascii="Times New Roman" w:hAnsi="Times New Roman" w:cs="Times New Roman"/>
          <w:sz w:val="28"/>
          <w:szCs w:val="28"/>
          <w:u w:val="single"/>
        </w:rPr>
        <w:t xml:space="preserve"> y Electroencefalograma</w:t>
      </w:r>
      <w:r w:rsidRPr="006B43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86286" w:rsidRPr="006B4374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>.</w:t>
      </w:r>
    </w:p>
    <w:p w:rsidR="00386286" w:rsidRPr="006B4374" w:rsidRDefault="00386286" w:rsidP="008E09C4">
      <w:pPr>
        <w:pStyle w:val="Textoindependienteprimerasangra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  <w:u w:val="single"/>
        </w:rPr>
        <w:t>Potenciales Evocados Auditivos de tronco cerebral</w:t>
      </w:r>
      <w:r w:rsidRPr="006B4374">
        <w:rPr>
          <w:rFonts w:ascii="Times New Roman" w:hAnsi="Times New Roman" w:cs="Times New Roman"/>
          <w:sz w:val="28"/>
          <w:szCs w:val="28"/>
        </w:rPr>
        <w:t>: demora bilateral de latencia de onda 1 de tipo conductivo.</w:t>
      </w:r>
    </w:p>
    <w:p w:rsidR="008E09C4" w:rsidRPr="006B4374" w:rsidRDefault="008E09C4" w:rsidP="008E09C4">
      <w:pPr>
        <w:pStyle w:val="Textoindependienteprimerasangra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8E09C4" w:rsidRPr="006B4374" w:rsidRDefault="008E09C4" w:rsidP="008E09C4">
      <w:pPr>
        <w:pStyle w:val="Textoindependienteprimerasangra"/>
        <w:spacing w:before="120" w:after="12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lastRenderedPageBreak/>
        <w:t xml:space="preserve">Se diagnostica </w:t>
      </w:r>
      <w:proofErr w:type="spellStart"/>
      <w:r w:rsidRPr="006B4374">
        <w:rPr>
          <w:rFonts w:ascii="Times New Roman" w:hAnsi="Times New Roman" w:cs="Times New Roman"/>
          <w:b/>
          <w:sz w:val="28"/>
          <w:szCs w:val="28"/>
        </w:rPr>
        <w:t>Sindrome</w:t>
      </w:r>
      <w:proofErr w:type="spellEnd"/>
      <w:r w:rsidRPr="006B4374">
        <w:rPr>
          <w:rFonts w:ascii="Times New Roman" w:hAnsi="Times New Roman" w:cs="Times New Roman"/>
          <w:b/>
          <w:sz w:val="28"/>
          <w:szCs w:val="28"/>
        </w:rPr>
        <w:t xml:space="preserve"> de Hipoventilación Central Congénita de Presentación Tardía</w:t>
      </w:r>
      <w:r w:rsidR="00C23143" w:rsidRPr="006B4374">
        <w:rPr>
          <w:rFonts w:ascii="Times New Roman" w:hAnsi="Times New Roman" w:cs="Times New Roman"/>
          <w:b/>
          <w:sz w:val="28"/>
          <w:szCs w:val="28"/>
        </w:rPr>
        <w:t xml:space="preserve"> (SHCCPT)</w:t>
      </w:r>
    </w:p>
    <w:p w:rsidR="00CC18B6" w:rsidRPr="006B4374" w:rsidRDefault="00CC18B6" w:rsidP="00C70AAD">
      <w:pPr>
        <w:pStyle w:val="Textoindependienteprimerasangra"/>
        <w:spacing w:before="120" w:after="120" w:line="360" w:lineRule="auto"/>
        <w:ind w:firstLine="0"/>
        <w:rPr>
          <w:rFonts w:ascii="Times New Roman" w:hAnsi="Times New Roman" w:cs="Times New Roman"/>
          <w:b/>
          <w:i/>
          <w:color w:val="95B3D7" w:themeColor="accent1" w:themeTint="99"/>
          <w:sz w:val="28"/>
          <w:szCs w:val="28"/>
          <w:u w:val="single"/>
        </w:rPr>
      </w:pPr>
    </w:p>
    <w:p w:rsidR="00C70AAD" w:rsidRPr="006B4374" w:rsidRDefault="00C70AAD" w:rsidP="00C70AAD">
      <w:pPr>
        <w:pStyle w:val="Textoindependienteprimerasangra"/>
        <w:spacing w:before="120" w:after="120"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374">
        <w:rPr>
          <w:rFonts w:ascii="Times New Roman" w:hAnsi="Times New Roman" w:cs="Times New Roman"/>
          <w:b/>
          <w:sz w:val="28"/>
          <w:szCs w:val="28"/>
          <w:u w:val="single"/>
        </w:rPr>
        <w:t>Discusión</w:t>
      </w:r>
    </w:p>
    <w:p w:rsidR="00E907C3" w:rsidRPr="006B4374" w:rsidRDefault="007717B5" w:rsidP="008C3318">
      <w:pPr>
        <w:pStyle w:val="Textoindependienteprimerasangra"/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 xml:space="preserve">El SHCC es una enfermedad autosómica dominante asociada a mutaciones del gen PHOX2B. Esta alteración cromosómica se manifiesta produciendo trastornos en la integración de la información proveniente de los quimiorreceptores, probablemente a nivel del tronco del encéfalo, manifestándose principalmente por una respuesta deficitaria por parte de los quimiorreceptores a la hipercapnia y variable a la hipoxia, siendo </w:t>
      </w:r>
      <w:r w:rsidR="00A77A70" w:rsidRPr="006B4374">
        <w:rPr>
          <w:rFonts w:ascii="Times New Roman" w:hAnsi="Times New Roman" w:cs="Times New Roman"/>
          <w:sz w:val="28"/>
          <w:szCs w:val="28"/>
        </w:rPr>
        <w:t>más</w:t>
      </w:r>
      <w:r w:rsidRPr="006B4374">
        <w:rPr>
          <w:rFonts w:ascii="Times New Roman" w:hAnsi="Times New Roman" w:cs="Times New Roman"/>
          <w:sz w:val="28"/>
          <w:szCs w:val="28"/>
        </w:rPr>
        <w:t xml:space="preserve"> evidente durante el sueño cuando el resto de los mecanismos que regulan la respiración se encuentran inactivos. Su diagnóstico es de exclusión debiéndose descartar enfermedad del tronco del encéfalo, neuromuscular, p</w:t>
      </w:r>
      <w:r w:rsidR="00E907C3" w:rsidRPr="006B4374">
        <w:rPr>
          <w:rFonts w:ascii="Times New Roman" w:hAnsi="Times New Roman" w:cs="Times New Roman"/>
          <w:sz w:val="28"/>
          <w:szCs w:val="28"/>
        </w:rPr>
        <w:t>ulmonar, metabólica o cardíaca.</w:t>
      </w:r>
    </w:p>
    <w:p w:rsidR="007717B5" w:rsidRPr="006B4374" w:rsidRDefault="007717B5" w:rsidP="008C3318">
      <w:pPr>
        <w:pStyle w:val="Textoindependienteprimerasangra"/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 xml:space="preserve">Si bien el SHCC es una enfermedad descripta comúnmente en la literatura en relación a lactantes e infantes, un creciente número de reportes de casos en todo el mundo en jóvenes y adultos en los últimos años, sugieren que este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sindrome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se encuentra </w:t>
      </w:r>
      <w:proofErr w:type="spellStart"/>
      <w:r w:rsidR="00A77A70" w:rsidRPr="006B4374">
        <w:rPr>
          <w:rFonts w:ascii="Times New Roman" w:hAnsi="Times New Roman" w:cs="Times New Roman"/>
          <w:sz w:val="28"/>
          <w:szCs w:val="28"/>
        </w:rPr>
        <w:t>subdiagnosticado</w:t>
      </w:r>
      <w:proofErr w:type="spellEnd"/>
      <w:r w:rsidR="00A77A70" w:rsidRPr="006B4374">
        <w:rPr>
          <w:rFonts w:ascii="Times New Roman" w:hAnsi="Times New Roman" w:cs="Times New Roman"/>
          <w:sz w:val="28"/>
          <w:szCs w:val="28"/>
        </w:rPr>
        <w:t xml:space="preserve"> en este grupo</w:t>
      </w:r>
      <w:r w:rsidRPr="006B4374">
        <w:rPr>
          <w:rFonts w:ascii="Times New Roman" w:hAnsi="Times New Roman" w:cs="Times New Roman"/>
          <w:sz w:val="28"/>
          <w:szCs w:val="28"/>
        </w:rPr>
        <w:t xml:space="preserve">. Aunque antiguamente presentaba un pronóstico ominoso o con dependencia de métodos de ventilación invasiva para su supervivencia, en la actualidad existe tratamiento sintomático para ofrecer a los pacientes afectados, como es la VNI, mejorando ampliamente la calidad de vida. En este nuevo grupo se plantean además dilemas éticos como es el consejo genético </w:t>
      </w:r>
      <w:proofErr w:type="spellStart"/>
      <w:r w:rsidRPr="006B4374">
        <w:rPr>
          <w:rFonts w:ascii="Times New Roman" w:hAnsi="Times New Roman" w:cs="Times New Roman"/>
          <w:sz w:val="28"/>
          <w:szCs w:val="28"/>
        </w:rPr>
        <w:t>preconcepcional</w:t>
      </w:r>
      <w:proofErr w:type="spellEnd"/>
      <w:r w:rsidRPr="006B4374">
        <w:rPr>
          <w:rFonts w:ascii="Times New Roman" w:hAnsi="Times New Roman" w:cs="Times New Roman"/>
          <w:sz w:val="28"/>
          <w:szCs w:val="28"/>
        </w:rPr>
        <w:t xml:space="preserve"> dada la transmisión autosómica dominante de esta afección.</w:t>
      </w:r>
    </w:p>
    <w:p w:rsidR="00E907C3" w:rsidRPr="006B4374" w:rsidRDefault="00E907C3" w:rsidP="008C3318">
      <w:pPr>
        <w:pStyle w:val="Textoindependienteprimerasangra"/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07C3" w:rsidRPr="006B4374" w:rsidRDefault="006B4374" w:rsidP="00E907C3">
      <w:pPr>
        <w:pStyle w:val="Textoindependienteprimerasangra"/>
        <w:spacing w:before="120" w:after="120"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</w:t>
      </w:r>
      <w:r w:rsidR="00E907C3" w:rsidRPr="006B4374">
        <w:rPr>
          <w:rFonts w:ascii="Times New Roman" w:hAnsi="Times New Roman" w:cs="Times New Roman"/>
          <w:b/>
          <w:sz w:val="28"/>
          <w:szCs w:val="28"/>
          <w:u w:val="single"/>
        </w:rPr>
        <w:t>onclusión</w:t>
      </w:r>
    </w:p>
    <w:p w:rsidR="00277CEC" w:rsidRPr="006B4374" w:rsidRDefault="007717B5" w:rsidP="008C3318">
      <w:pPr>
        <w:pStyle w:val="Textoindependienteprimerasangra"/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t>Consideram</w:t>
      </w:r>
      <w:r w:rsidR="00B4379C" w:rsidRPr="006B4374">
        <w:rPr>
          <w:rFonts w:ascii="Times New Roman" w:hAnsi="Times New Roman" w:cs="Times New Roman"/>
          <w:sz w:val="28"/>
          <w:szCs w:val="28"/>
        </w:rPr>
        <w:t xml:space="preserve">os relevante el conocimiento del SHCCPT </w:t>
      </w:r>
      <w:r w:rsidRPr="006B4374">
        <w:rPr>
          <w:rFonts w:ascii="Times New Roman" w:hAnsi="Times New Roman" w:cs="Times New Roman"/>
          <w:sz w:val="28"/>
          <w:szCs w:val="28"/>
        </w:rPr>
        <w:t>como diagnóstico diferencial en la insuficiencia respiratoria, y la importancia de sospechar la presencia de anomalías en el control de la ventilación, cuando las alteraciones mecánicas no justifican la hipercapnia crónica.</w:t>
      </w:r>
    </w:p>
    <w:p w:rsidR="00A74A66" w:rsidRPr="006B4374" w:rsidRDefault="00A74A66" w:rsidP="00A77A70">
      <w:pPr>
        <w:pStyle w:val="Textoindependienteprimerasangra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00FAE" w:rsidRPr="006B4374" w:rsidRDefault="00100FAE">
      <w:pPr>
        <w:rPr>
          <w:rFonts w:ascii="Times New Roman" w:hAnsi="Times New Roman" w:cs="Times New Roman"/>
          <w:sz w:val="28"/>
          <w:szCs w:val="28"/>
        </w:rPr>
      </w:pPr>
      <w:r w:rsidRPr="006B4374">
        <w:rPr>
          <w:rFonts w:ascii="Times New Roman" w:hAnsi="Times New Roman" w:cs="Times New Roman"/>
          <w:sz w:val="28"/>
          <w:szCs w:val="28"/>
        </w:rPr>
        <w:br w:type="page"/>
      </w:r>
    </w:p>
    <w:p w:rsidR="00A74A66" w:rsidRPr="006B4374" w:rsidRDefault="00E907C3" w:rsidP="00A77A70">
      <w:pPr>
        <w:pStyle w:val="Textoindependienteprimerasangra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3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Bibliografía</w:t>
      </w:r>
    </w:p>
    <w:p w:rsidR="009A5178" w:rsidRPr="006B4374" w:rsidRDefault="009A5178" w:rsidP="009A5178">
      <w:pPr>
        <w:pStyle w:val="Prrafodelista"/>
        <w:numPr>
          <w:ilvl w:val="0"/>
          <w:numId w:val="17"/>
        </w:numPr>
        <w:spacing w:after="0" w:line="360" w:lineRule="auto"/>
        <w:ind w:left="811" w:hanging="357"/>
        <w:jc w:val="both"/>
        <w:rPr>
          <w:rFonts w:ascii="Times New Roman" w:eastAsia="Times New Roman" w:hAnsi="Times New Roman" w:cs="Times New Roman"/>
          <w:color w:val="F07F09"/>
          <w:sz w:val="24"/>
          <w:szCs w:val="24"/>
          <w:lang w:eastAsia="es-AR"/>
        </w:rPr>
      </w:pPr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Antic NA,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Malow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BA, Lange N, McEvoy RD, Olson AL, Turkington P,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Windisch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W, Samuels M, Stevens CA, Berry-Kravis EM,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Weese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-Mayer DE. PHOX2B mutation-confirmed congenital central hypoventilation syndrome: presentation in adulthood. </w:t>
      </w:r>
      <w:proofErr w:type="gram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Am</w:t>
      </w:r>
      <w:proofErr w:type="gram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J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Respir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Crit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Care Med 174: 923–927, 2006.</w:t>
      </w:r>
    </w:p>
    <w:p w:rsidR="009A5178" w:rsidRPr="006B4374" w:rsidRDefault="009A5178" w:rsidP="009A5178">
      <w:pPr>
        <w:pStyle w:val="Prrafodelista"/>
        <w:numPr>
          <w:ilvl w:val="0"/>
          <w:numId w:val="17"/>
        </w:numPr>
        <w:spacing w:after="0" w:line="360" w:lineRule="auto"/>
        <w:ind w:left="811" w:hanging="357"/>
        <w:jc w:val="both"/>
        <w:rPr>
          <w:rFonts w:ascii="Times New Roman" w:eastAsia="Times New Roman" w:hAnsi="Times New Roman" w:cs="Times New Roman"/>
          <w:color w:val="F07F09"/>
          <w:sz w:val="24"/>
          <w:szCs w:val="24"/>
          <w:lang w:eastAsia="es-AR"/>
        </w:rPr>
      </w:pPr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Debra E.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Weese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-Mayer, Elizabeth M. Berry-Kravis, Isabella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Ceccherini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, Thomas G. Keens, Darius A.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Loghmanee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, and Ha Trang, on behalf of the ATS Congenital Central Hypoventilation Syndrome Subcommittee. An Official ATS Clinical Policy Statement: Congenital Central Hypoventilation Syndrome Genetic Basis, Diagnosis, and Management. American Journal of Respiratory and Critical Care Medicine. 2010</w:t>
      </w:r>
      <w:proofErr w:type="gram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;181:626</w:t>
      </w:r>
      <w:proofErr w:type="gram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-644.</w:t>
      </w:r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position w:val="7"/>
          <w:sz w:val="24"/>
          <w:szCs w:val="24"/>
          <w:vertAlign w:val="superscript"/>
          <w:lang w:val="en-US" w:eastAsia="es-AR"/>
        </w:rPr>
        <w:t xml:space="preserve"> </w:t>
      </w:r>
    </w:p>
    <w:p w:rsidR="007F2EBD" w:rsidRPr="006B4374" w:rsidRDefault="007F2EBD" w:rsidP="007F2EB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Ismail Al </w:t>
      </w:r>
      <w:proofErr w:type="spellStart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Rashdi</w:t>
      </w:r>
      <w:proofErr w:type="spellEnd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Mohammed Al </w:t>
      </w:r>
      <w:proofErr w:type="spellStart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Ghafri</w:t>
      </w:r>
      <w:proofErr w:type="spellEnd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Said Al </w:t>
      </w:r>
      <w:proofErr w:type="spellStart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Hanshi</w:t>
      </w:r>
      <w:proofErr w:type="spellEnd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Nabil Al </w:t>
      </w:r>
      <w:proofErr w:type="spellStart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Macki</w:t>
      </w:r>
      <w:proofErr w:type="spellEnd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. Late Onset Central Hypoventilation Syndrome due to a Heterozygous </w:t>
      </w:r>
      <w:proofErr w:type="spellStart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Polyalanine</w:t>
      </w:r>
      <w:proofErr w:type="spellEnd"/>
      <w:r w:rsidRPr="006B437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Repeat Expansion Mutation in the PHOX2B Gene. Oman Medical Journal 2011. Vol. 26, No. 5:356-358</w:t>
      </w:r>
    </w:p>
    <w:p w:rsidR="009A5178" w:rsidRPr="006B4374" w:rsidRDefault="009A5178" w:rsidP="009A5178">
      <w:pPr>
        <w:pStyle w:val="Prrafodelista"/>
        <w:numPr>
          <w:ilvl w:val="0"/>
          <w:numId w:val="17"/>
        </w:numPr>
        <w:spacing w:after="0" w:line="360" w:lineRule="auto"/>
        <w:ind w:left="811" w:hanging="357"/>
        <w:jc w:val="both"/>
        <w:rPr>
          <w:rFonts w:ascii="Times New Roman" w:eastAsia="Times New Roman" w:hAnsi="Times New Roman" w:cs="Times New Roman"/>
          <w:color w:val="F07F09"/>
          <w:sz w:val="24"/>
          <w:szCs w:val="24"/>
          <w:lang w:eastAsia="es-AR"/>
        </w:rPr>
      </w:pP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Loghmanee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DA, Rand CM, Zhou L, Berry-Kravis EM,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Weese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-Mayer DE. Clinical features of subjects with non-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polyalanine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repeat mutations (NPARM) in the PHOX2B gene.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Pediatr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Res 2008; E-PAS2008:6356.</w:t>
      </w:r>
    </w:p>
    <w:p w:rsidR="00100FAE" w:rsidRPr="006B4374" w:rsidRDefault="00100FAE" w:rsidP="006716C3">
      <w:pPr>
        <w:pStyle w:val="Prrafodelista"/>
        <w:numPr>
          <w:ilvl w:val="0"/>
          <w:numId w:val="17"/>
        </w:numPr>
        <w:spacing w:after="0" w:line="360" w:lineRule="auto"/>
        <w:ind w:left="811" w:hanging="357"/>
        <w:jc w:val="both"/>
        <w:rPr>
          <w:rFonts w:ascii="Times New Roman" w:eastAsia="Times New Roman" w:hAnsi="Times New Roman" w:cs="Times New Roman"/>
          <w:color w:val="F07F09"/>
          <w:sz w:val="24"/>
          <w:szCs w:val="24"/>
          <w:lang w:eastAsia="es-AR"/>
        </w:rPr>
      </w:pP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Mellins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RB, Balfour HH Jr,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Turino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GM, Winters RW. Failure of automatic control of ventilation (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Ondine’s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curse). Report of an infant born with this syndrome and review of the literature. Medicine (Baltimore) 1970</w:t>
      </w:r>
      <w:proofErr w:type="gram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;49:487</w:t>
      </w:r>
      <w:proofErr w:type="gram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–504.</w:t>
      </w:r>
    </w:p>
    <w:p w:rsidR="007F2EBD" w:rsidRPr="006B4374" w:rsidRDefault="007F2EBD" w:rsidP="007F2EB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F07F09"/>
          <w:sz w:val="24"/>
          <w:szCs w:val="24"/>
          <w:lang w:val="en-US" w:eastAsia="es-AR"/>
        </w:rPr>
      </w:pPr>
      <w:proofErr w:type="spellStart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>Pallavi</w:t>
      </w:r>
      <w:proofErr w:type="spellEnd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</w:t>
      </w:r>
      <w:r w:rsidRPr="006B4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>Patwari</w:t>
      </w:r>
      <w:proofErr w:type="spellEnd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6B4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Michael S. Carroll, Casey M. Rand, Rajesh Kumar, Ronald M. Harper, Debra E. </w:t>
      </w:r>
      <w:proofErr w:type="spellStart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>Weese</w:t>
      </w:r>
      <w:proofErr w:type="spellEnd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-Mayer. Congenital Central Hypoventilation Syndrome and the </w:t>
      </w:r>
      <w:r w:rsidRPr="006B437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PHOX2B </w:t>
      </w:r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Gene: A Model of Respiratory and Autonomic Dysregulation. </w:t>
      </w:r>
      <w:proofErr w:type="spellStart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>Respir</w:t>
      </w:r>
      <w:proofErr w:type="spellEnd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>Physiol</w:t>
      </w:r>
      <w:proofErr w:type="spellEnd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>Neurobiol</w:t>
      </w:r>
      <w:proofErr w:type="spellEnd"/>
      <w:r w:rsidRPr="006B4374">
        <w:rPr>
          <w:rFonts w:ascii="Times New Roman" w:hAnsi="Times New Roman" w:cs="Times New Roman"/>
          <w:bCs/>
          <w:sz w:val="24"/>
          <w:szCs w:val="24"/>
          <w:lang w:val="en-US"/>
        </w:rPr>
        <w:t>. 2010; 173(3): 322–335.</w:t>
      </w:r>
    </w:p>
    <w:p w:rsidR="009A5178" w:rsidRPr="006B4374" w:rsidRDefault="009A5178" w:rsidP="009A5178">
      <w:pPr>
        <w:pStyle w:val="Prrafodelista"/>
        <w:numPr>
          <w:ilvl w:val="0"/>
          <w:numId w:val="17"/>
        </w:numPr>
        <w:spacing w:after="0" w:line="360" w:lineRule="auto"/>
        <w:ind w:left="811" w:hanging="357"/>
        <w:jc w:val="both"/>
        <w:rPr>
          <w:rFonts w:ascii="Times New Roman" w:eastAsia="Times New Roman" w:hAnsi="Times New Roman" w:cs="Times New Roman"/>
          <w:color w:val="F07F09"/>
          <w:sz w:val="24"/>
          <w:szCs w:val="24"/>
          <w:lang w:eastAsia="es-AR"/>
        </w:rPr>
      </w:pP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Weese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-Mayer DE, Berry-Kravis EM,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Ceccherini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I, Keens TG,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Loghmanee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DA, Trang H. American Thoracic Society Statement. Congenital Central Hypoventilation Syndrome: Genetic Basis, Diagnosis, and Management: An Official ATS Clinical Policy Statement. Am J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Respir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Crit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Care Med. In press.</w:t>
      </w:r>
    </w:p>
    <w:p w:rsidR="00100FAE" w:rsidRPr="006B4374" w:rsidRDefault="00100FAE" w:rsidP="006716C3">
      <w:pPr>
        <w:pStyle w:val="Prrafodelista"/>
        <w:numPr>
          <w:ilvl w:val="0"/>
          <w:numId w:val="17"/>
        </w:numPr>
        <w:spacing w:after="0" w:line="360" w:lineRule="auto"/>
        <w:ind w:left="811" w:hanging="357"/>
        <w:jc w:val="both"/>
        <w:rPr>
          <w:rFonts w:ascii="Times New Roman" w:eastAsia="Times New Roman" w:hAnsi="Times New Roman" w:cs="Times New Roman"/>
          <w:color w:val="F07F09"/>
          <w:sz w:val="24"/>
          <w:szCs w:val="24"/>
          <w:lang w:eastAsia="es-AR"/>
        </w:rPr>
      </w:pP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lastRenderedPageBreak/>
        <w:t>Weese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-Mayer DE, Shannon DC, Keens TG,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Silvestri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JM. Idiopathic congenital central hypoventilation syndrome: diagnosis and management. American Thoracic Society. Am J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Respir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Crit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Care Med 1999</w:t>
      </w:r>
      <w:proofErr w:type="gram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;160:368</w:t>
      </w:r>
      <w:proofErr w:type="gram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–373.</w:t>
      </w:r>
    </w:p>
    <w:p w:rsidR="00100FAE" w:rsidRPr="006B4374" w:rsidRDefault="00100FAE" w:rsidP="006716C3">
      <w:pPr>
        <w:pStyle w:val="Prrafodelista"/>
        <w:numPr>
          <w:ilvl w:val="0"/>
          <w:numId w:val="17"/>
        </w:numPr>
        <w:spacing w:after="0" w:line="360" w:lineRule="auto"/>
        <w:ind w:left="811" w:hanging="357"/>
        <w:jc w:val="both"/>
        <w:rPr>
          <w:rFonts w:ascii="Times New Roman" w:eastAsia="Times New Roman" w:hAnsi="Times New Roman" w:cs="Times New Roman"/>
          <w:color w:val="F07F09"/>
          <w:sz w:val="24"/>
          <w:szCs w:val="24"/>
          <w:lang w:eastAsia="es-AR"/>
        </w:rPr>
      </w:pP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Weese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-Mayer DE,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Silvestri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JM, Menzies LJ, Morrow-Kenny AS, Hunt CE, Hauptman SA. Congenital central hypoventilation syndrome: diagnosis, management, and long-term outcome in thirty-two children. J </w:t>
      </w:r>
      <w:proofErr w:type="spellStart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Pediatr</w:t>
      </w:r>
      <w:proofErr w:type="spellEnd"/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1992;</w:t>
      </w:r>
      <w:r w:rsidR="00A60010"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 xml:space="preserve"> </w:t>
      </w:r>
      <w:r w:rsidRPr="006B43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s-AR"/>
        </w:rPr>
        <w:t>120:381–387.</w:t>
      </w:r>
    </w:p>
    <w:p w:rsidR="00100FAE" w:rsidRPr="006B4374" w:rsidRDefault="00100FAE" w:rsidP="00A77A70">
      <w:pPr>
        <w:pStyle w:val="Textoindependienteprimerasangra"/>
        <w:spacing w:before="120" w:after="120" w:line="360" w:lineRule="auto"/>
        <w:rPr>
          <w:rFonts w:ascii="Times New Roman" w:hAnsi="Times New Roman" w:cs="Times New Roman"/>
          <w:color w:val="95B3D7" w:themeColor="accent1" w:themeTint="99"/>
          <w:sz w:val="24"/>
          <w:szCs w:val="24"/>
          <w:lang w:val="en-US"/>
        </w:rPr>
      </w:pPr>
    </w:p>
    <w:sectPr w:rsidR="00100FAE" w:rsidRPr="006B4374" w:rsidSect="00100FAE">
      <w:footerReference w:type="defaul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A8" w:rsidRDefault="000D16A8" w:rsidP="00100FAE">
      <w:pPr>
        <w:spacing w:after="0" w:line="240" w:lineRule="auto"/>
      </w:pPr>
      <w:r>
        <w:separator/>
      </w:r>
    </w:p>
  </w:endnote>
  <w:endnote w:type="continuationSeparator" w:id="0">
    <w:p w:rsidR="000D16A8" w:rsidRDefault="000D16A8" w:rsidP="0010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8438"/>
      <w:docPartObj>
        <w:docPartGallery w:val="Page Numbers (Bottom of Page)"/>
        <w:docPartUnique/>
      </w:docPartObj>
    </w:sdtPr>
    <w:sdtEndPr/>
    <w:sdtContent>
      <w:p w:rsidR="007A1805" w:rsidRDefault="007A1805">
        <w:pPr>
          <w:pStyle w:val="Piedepgina"/>
        </w:pPr>
        <w:r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46B6892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1805" w:rsidRDefault="007A1805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8C3318" w:rsidRPr="008C3318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9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7A1805" w:rsidRDefault="007A1805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8C3318" w:rsidRPr="008C3318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A8" w:rsidRDefault="000D16A8" w:rsidP="00100FAE">
      <w:pPr>
        <w:spacing w:after="0" w:line="240" w:lineRule="auto"/>
      </w:pPr>
      <w:r>
        <w:separator/>
      </w:r>
    </w:p>
  </w:footnote>
  <w:footnote w:type="continuationSeparator" w:id="0">
    <w:p w:rsidR="000D16A8" w:rsidRDefault="000D16A8" w:rsidP="0010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88C76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A73DBB"/>
    <w:multiLevelType w:val="hybridMultilevel"/>
    <w:tmpl w:val="EF5093F6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B291B"/>
    <w:multiLevelType w:val="hybridMultilevel"/>
    <w:tmpl w:val="6FD6CA96"/>
    <w:lvl w:ilvl="0" w:tplc="2C0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8F94079"/>
    <w:multiLevelType w:val="hybridMultilevel"/>
    <w:tmpl w:val="388E0B72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10FB1"/>
    <w:multiLevelType w:val="hybridMultilevel"/>
    <w:tmpl w:val="7AF4407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E5515F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B225BE"/>
    <w:multiLevelType w:val="hybridMultilevel"/>
    <w:tmpl w:val="5008C88E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491CC6"/>
    <w:multiLevelType w:val="hybridMultilevel"/>
    <w:tmpl w:val="F9C22556"/>
    <w:lvl w:ilvl="0" w:tplc="9C1C62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2828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6431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AFE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AD9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70C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C4F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446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728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8A9522E"/>
    <w:multiLevelType w:val="hybridMultilevel"/>
    <w:tmpl w:val="D5909196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323252"/>
    <w:multiLevelType w:val="hybridMultilevel"/>
    <w:tmpl w:val="F3189D8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4E7FD8"/>
    <w:multiLevelType w:val="hybridMultilevel"/>
    <w:tmpl w:val="CF382F78"/>
    <w:lvl w:ilvl="0" w:tplc="2C0A0005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>
    <w:nsid w:val="55D47620"/>
    <w:multiLevelType w:val="hybridMultilevel"/>
    <w:tmpl w:val="EFCCE460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912184"/>
    <w:multiLevelType w:val="hybridMultilevel"/>
    <w:tmpl w:val="4BE03FC4"/>
    <w:lvl w:ilvl="0" w:tplc="2C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59892BBB"/>
    <w:multiLevelType w:val="hybridMultilevel"/>
    <w:tmpl w:val="9F26DD82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010D2E"/>
    <w:multiLevelType w:val="hybridMultilevel"/>
    <w:tmpl w:val="7C320A2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F5372F"/>
    <w:multiLevelType w:val="hybridMultilevel"/>
    <w:tmpl w:val="9372F9A2"/>
    <w:lvl w:ilvl="0" w:tplc="2C0A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>
    <w:nsid w:val="7D7F572C"/>
    <w:multiLevelType w:val="hybridMultilevel"/>
    <w:tmpl w:val="25F2210E"/>
    <w:lvl w:ilvl="0" w:tplc="27CE7056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7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B5"/>
    <w:rsid w:val="0003768E"/>
    <w:rsid w:val="00047B8D"/>
    <w:rsid w:val="000D16A8"/>
    <w:rsid w:val="000F3006"/>
    <w:rsid w:val="00100FAE"/>
    <w:rsid w:val="00117BAB"/>
    <w:rsid w:val="00136748"/>
    <w:rsid w:val="001A1FA3"/>
    <w:rsid w:val="00277C27"/>
    <w:rsid w:val="00277CEC"/>
    <w:rsid w:val="002D7B4B"/>
    <w:rsid w:val="00386286"/>
    <w:rsid w:val="00392D3D"/>
    <w:rsid w:val="0049134C"/>
    <w:rsid w:val="00510BC5"/>
    <w:rsid w:val="0052340E"/>
    <w:rsid w:val="005635A0"/>
    <w:rsid w:val="0059019A"/>
    <w:rsid w:val="00641860"/>
    <w:rsid w:val="00650CCA"/>
    <w:rsid w:val="006716C3"/>
    <w:rsid w:val="00677978"/>
    <w:rsid w:val="00697A1B"/>
    <w:rsid w:val="006B4374"/>
    <w:rsid w:val="007717B5"/>
    <w:rsid w:val="007A1805"/>
    <w:rsid w:val="007C3744"/>
    <w:rsid w:val="007F2EBD"/>
    <w:rsid w:val="00886740"/>
    <w:rsid w:val="008C3318"/>
    <w:rsid w:val="008E09C4"/>
    <w:rsid w:val="009A5178"/>
    <w:rsid w:val="009D6F4F"/>
    <w:rsid w:val="00A4189D"/>
    <w:rsid w:val="00A60010"/>
    <w:rsid w:val="00A74A66"/>
    <w:rsid w:val="00A77A70"/>
    <w:rsid w:val="00AC787F"/>
    <w:rsid w:val="00B20A2C"/>
    <w:rsid w:val="00B410E2"/>
    <w:rsid w:val="00B4379C"/>
    <w:rsid w:val="00BF020D"/>
    <w:rsid w:val="00C23143"/>
    <w:rsid w:val="00C33D3C"/>
    <w:rsid w:val="00C70AAD"/>
    <w:rsid w:val="00CC18B6"/>
    <w:rsid w:val="00D91836"/>
    <w:rsid w:val="00DC6E11"/>
    <w:rsid w:val="00DF64AB"/>
    <w:rsid w:val="00E907C3"/>
    <w:rsid w:val="00ED74F9"/>
    <w:rsid w:val="00EE7EDA"/>
    <w:rsid w:val="00F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77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7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2">
    <w:name w:val="List 2"/>
    <w:basedOn w:val="Normal"/>
    <w:uiPriority w:val="99"/>
    <w:unhideWhenUsed/>
    <w:rsid w:val="00A77A70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77A70"/>
    <w:pPr>
      <w:ind w:left="849" w:hanging="283"/>
      <w:contextualSpacing/>
    </w:pPr>
  </w:style>
  <w:style w:type="paragraph" w:styleId="Listaconvietas2">
    <w:name w:val="List Bullet 2"/>
    <w:basedOn w:val="Normal"/>
    <w:uiPriority w:val="99"/>
    <w:unhideWhenUsed/>
    <w:rsid w:val="00A77A70"/>
    <w:pPr>
      <w:numPr>
        <w:numId w:val="1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A77A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77A7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77A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7A7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77A7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77A70"/>
  </w:style>
  <w:style w:type="paragraph" w:styleId="Textodeglobo">
    <w:name w:val="Balloon Text"/>
    <w:basedOn w:val="Normal"/>
    <w:link w:val="TextodegloboCar"/>
    <w:uiPriority w:val="99"/>
    <w:semiHidden/>
    <w:unhideWhenUsed/>
    <w:rsid w:val="006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86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0376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Cuadrculaclara-nfasis5">
    <w:name w:val="Light Grid Accent 5"/>
    <w:basedOn w:val="Tablanormal"/>
    <w:uiPriority w:val="62"/>
    <w:rsid w:val="00A74A6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2-nfasis5">
    <w:name w:val="Medium Shading 2 Accent 5"/>
    <w:basedOn w:val="Tablanormal"/>
    <w:uiPriority w:val="64"/>
    <w:rsid w:val="00A74A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74A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A74A6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74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rrafodelista">
    <w:name w:val="List Paragraph"/>
    <w:basedOn w:val="Normal"/>
    <w:uiPriority w:val="34"/>
    <w:qFormat/>
    <w:rsid w:val="00DC6E1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00FAE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0FAE"/>
    <w:rPr>
      <w:rFonts w:eastAsiaTheme="minorEastAsia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100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FAE"/>
  </w:style>
  <w:style w:type="paragraph" w:styleId="Piedepgina">
    <w:name w:val="footer"/>
    <w:basedOn w:val="Normal"/>
    <w:link w:val="PiedepginaCar"/>
    <w:uiPriority w:val="99"/>
    <w:unhideWhenUsed/>
    <w:rsid w:val="00100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77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7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2">
    <w:name w:val="List 2"/>
    <w:basedOn w:val="Normal"/>
    <w:uiPriority w:val="99"/>
    <w:unhideWhenUsed/>
    <w:rsid w:val="00A77A70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77A70"/>
    <w:pPr>
      <w:ind w:left="849" w:hanging="283"/>
      <w:contextualSpacing/>
    </w:pPr>
  </w:style>
  <w:style w:type="paragraph" w:styleId="Listaconvietas2">
    <w:name w:val="List Bullet 2"/>
    <w:basedOn w:val="Normal"/>
    <w:uiPriority w:val="99"/>
    <w:unhideWhenUsed/>
    <w:rsid w:val="00A77A70"/>
    <w:pPr>
      <w:numPr>
        <w:numId w:val="1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A77A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77A7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77A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7A7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77A7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77A70"/>
  </w:style>
  <w:style w:type="paragraph" w:styleId="Textodeglobo">
    <w:name w:val="Balloon Text"/>
    <w:basedOn w:val="Normal"/>
    <w:link w:val="TextodegloboCar"/>
    <w:uiPriority w:val="99"/>
    <w:semiHidden/>
    <w:unhideWhenUsed/>
    <w:rsid w:val="006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86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0376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Cuadrculaclara-nfasis5">
    <w:name w:val="Light Grid Accent 5"/>
    <w:basedOn w:val="Tablanormal"/>
    <w:uiPriority w:val="62"/>
    <w:rsid w:val="00A74A6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2-nfasis5">
    <w:name w:val="Medium Shading 2 Accent 5"/>
    <w:basedOn w:val="Tablanormal"/>
    <w:uiPriority w:val="64"/>
    <w:rsid w:val="00A74A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74A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A74A6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74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rrafodelista">
    <w:name w:val="List Paragraph"/>
    <w:basedOn w:val="Normal"/>
    <w:uiPriority w:val="34"/>
    <w:qFormat/>
    <w:rsid w:val="00DC6E1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00FAE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0FAE"/>
    <w:rPr>
      <w:rFonts w:eastAsiaTheme="minorEastAsia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100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FAE"/>
  </w:style>
  <w:style w:type="paragraph" w:styleId="Piedepgina">
    <w:name w:val="footer"/>
    <w:basedOn w:val="Normal"/>
    <w:link w:val="PiedepginaCar"/>
    <w:uiPriority w:val="99"/>
    <w:unhideWhenUsed/>
    <w:rsid w:val="00100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9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9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0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0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4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3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EAB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Sue&#241;o\CONTROL%20EAB%20CEFERINAorig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9552485184635"/>
          <c:y val="3.9307695233747955E-2"/>
          <c:w val="0.7047508748906387"/>
          <c:h val="0.72321121318168591"/>
        </c:manualLayout>
      </c:layout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PC02</c:v>
                </c:pt>
              </c:strCache>
            </c:strRef>
          </c:tx>
          <c:cat>
            <c:numRef>
              <c:f>Hoja1!$A$2:$A$11</c:f>
              <c:numCache>
                <c:formatCode>dd\-mmm</c:formatCode>
                <c:ptCount val="10"/>
                <c:pt idx="0">
                  <c:v>41151</c:v>
                </c:pt>
                <c:pt idx="1">
                  <c:v>41152</c:v>
                </c:pt>
                <c:pt idx="2">
                  <c:v>41152</c:v>
                </c:pt>
                <c:pt idx="3">
                  <c:v>41153</c:v>
                </c:pt>
                <c:pt idx="4">
                  <c:v>41155</c:v>
                </c:pt>
                <c:pt idx="5">
                  <c:v>41156</c:v>
                </c:pt>
                <c:pt idx="6">
                  <c:v>41160</c:v>
                </c:pt>
                <c:pt idx="7">
                  <c:v>41166</c:v>
                </c:pt>
                <c:pt idx="8">
                  <c:v>41167</c:v>
                </c:pt>
                <c:pt idx="9">
                  <c:v>41168</c:v>
                </c:pt>
              </c:numCache>
            </c:numRef>
          </c:cat>
          <c:val>
            <c:numRef>
              <c:f>Hoja1!$B$2:$B$11</c:f>
              <c:numCache>
                <c:formatCode>General</c:formatCode>
                <c:ptCount val="10"/>
                <c:pt idx="0">
                  <c:v>76</c:v>
                </c:pt>
                <c:pt idx="1">
                  <c:v>47</c:v>
                </c:pt>
                <c:pt idx="2">
                  <c:v>67</c:v>
                </c:pt>
                <c:pt idx="3">
                  <c:v>54</c:v>
                </c:pt>
                <c:pt idx="4">
                  <c:v>56</c:v>
                </c:pt>
                <c:pt idx="5">
                  <c:v>48</c:v>
                </c:pt>
                <c:pt idx="6">
                  <c:v>42</c:v>
                </c:pt>
                <c:pt idx="7">
                  <c:v>52</c:v>
                </c:pt>
                <c:pt idx="8">
                  <c:v>35</c:v>
                </c:pt>
                <c:pt idx="9">
                  <c:v>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PO2</c:v>
                </c:pt>
              </c:strCache>
            </c:strRef>
          </c:tx>
          <c:cat>
            <c:numRef>
              <c:f>Hoja1!$A$2:$A$11</c:f>
              <c:numCache>
                <c:formatCode>dd\-mmm</c:formatCode>
                <c:ptCount val="10"/>
                <c:pt idx="0">
                  <c:v>41151</c:v>
                </c:pt>
                <c:pt idx="1">
                  <c:v>41152</c:v>
                </c:pt>
                <c:pt idx="2">
                  <c:v>41152</c:v>
                </c:pt>
                <c:pt idx="3">
                  <c:v>41153</c:v>
                </c:pt>
                <c:pt idx="4">
                  <c:v>41155</c:v>
                </c:pt>
                <c:pt idx="5">
                  <c:v>41156</c:v>
                </c:pt>
                <c:pt idx="6">
                  <c:v>41160</c:v>
                </c:pt>
                <c:pt idx="7">
                  <c:v>41166</c:v>
                </c:pt>
                <c:pt idx="8">
                  <c:v>41167</c:v>
                </c:pt>
                <c:pt idx="9">
                  <c:v>41168</c:v>
                </c:pt>
              </c:numCache>
            </c:numRef>
          </c:cat>
          <c:val>
            <c:numRef>
              <c:f>Hoja1!$C$2:$C$11</c:f>
              <c:numCache>
                <c:formatCode>General</c:formatCode>
                <c:ptCount val="10"/>
                <c:pt idx="0">
                  <c:v>103</c:v>
                </c:pt>
                <c:pt idx="1">
                  <c:v>79</c:v>
                </c:pt>
                <c:pt idx="2">
                  <c:v>81</c:v>
                </c:pt>
                <c:pt idx="3">
                  <c:v>66</c:v>
                </c:pt>
                <c:pt idx="4">
                  <c:v>105</c:v>
                </c:pt>
                <c:pt idx="5">
                  <c:v>93</c:v>
                </c:pt>
                <c:pt idx="6">
                  <c:v>122</c:v>
                </c:pt>
                <c:pt idx="7">
                  <c:v>121</c:v>
                </c:pt>
                <c:pt idx="8">
                  <c:v>76</c:v>
                </c:pt>
                <c:pt idx="9">
                  <c:v>85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HCO3</c:v>
                </c:pt>
              </c:strCache>
            </c:strRef>
          </c:tx>
          <c:cat>
            <c:numRef>
              <c:f>Hoja1!$A$2:$A$11</c:f>
              <c:numCache>
                <c:formatCode>dd\-mmm</c:formatCode>
                <c:ptCount val="10"/>
                <c:pt idx="0">
                  <c:v>41151</c:v>
                </c:pt>
                <c:pt idx="1">
                  <c:v>41152</c:v>
                </c:pt>
                <c:pt idx="2">
                  <c:v>41152</c:v>
                </c:pt>
                <c:pt idx="3">
                  <c:v>41153</c:v>
                </c:pt>
                <c:pt idx="4">
                  <c:v>41155</c:v>
                </c:pt>
                <c:pt idx="5">
                  <c:v>41156</c:v>
                </c:pt>
                <c:pt idx="6">
                  <c:v>41160</c:v>
                </c:pt>
                <c:pt idx="7">
                  <c:v>41166</c:v>
                </c:pt>
                <c:pt idx="8">
                  <c:v>41167</c:v>
                </c:pt>
                <c:pt idx="9">
                  <c:v>41168</c:v>
                </c:pt>
              </c:numCache>
            </c:numRef>
          </c:cat>
          <c:val>
            <c:numRef>
              <c:f>Hoja1!$D$2:$D$11</c:f>
              <c:numCache>
                <c:formatCode>General</c:formatCode>
                <c:ptCount val="10"/>
                <c:pt idx="0">
                  <c:v>37</c:v>
                </c:pt>
                <c:pt idx="1">
                  <c:v>33</c:v>
                </c:pt>
                <c:pt idx="2">
                  <c:v>33</c:v>
                </c:pt>
                <c:pt idx="3">
                  <c:v>35</c:v>
                </c:pt>
                <c:pt idx="4">
                  <c:v>32</c:v>
                </c:pt>
                <c:pt idx="5">
                  <c:v>28</c:v>
                </c:pt>
                <c:pt idx="6">
                  <c:v>26</c:v>
                </c:pt>
                <c:pt idx="7">
                  <c:v>28</c:v>
                </c:pt>
                <c:pt idx="8">
                  <c:v>25</c:v>
                </c:pt>
                <c:pt idx="9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564992"/>
        <c:axId val="70049792"/>
      </c:lineChart>
      <c:dateAx>
        <c:axId val="104564992"/>
        <c:scaling>
          <c:orientation val="minMax"/>
        </c:scaling>
        <c:delete val="0"/>
        <c:axPos val="b"/>
        <c:numFmt formatCode="dd\-mmm" sourceLinked="1"/>
        <c:majorTickMark val="out"/>
        <c:minorTickMark val="none"/>
        <c:tickLblPos val="nextTo"/>
        <c:crossAx val="70049792"/>
        <c:crosses val="autoZero"/>
        <c:auto val="1"/>
        <c:lblOffset val="100"/>
        <c:baseTimeUnit val="days"/>
      </c:dateAx>
      <c:valAx>
        <c:axId val="7004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56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06598407281004"/>
          <c:y val="0.35971362772826398"/>
          <c:w val="0.20193401592718999"/>
          <c:h val="0.2805727445434720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346262327195997"/>
          <c:y val="0.17403865734455606"/>
          <c:w val="0.6385125240391345"/>
          <c:h val="0.69007586998516224"/>
        </c:manualLayout>
      </c:layout>
      <c:lineChart>
        <c:grouping val="standard"/>
        <c:varyColors val="0"/>
        <c:ser>
          <c:idx val="0"/>
          <c:order val="0"/>
          <c:tx>
            <c:strRef>
              <c:f>Hoja1!$A$4</c:f>
              <c:strCache>
                <c:ptCount val="1"/>
                <c:pt idx="0">
                  <c:v>CO2</c:v>
                </c:pt>
              </c:strCache>
            </c:strRef>
          </c:tx>
          <c:cat>
            <c:strRef>
              <c:f>Hoja1!$B$1:$G$3</c:f>
              <c:strCache>
                <c:ptCount val="6"/>
                <c:pt idx="0">
                  <c:v>21-nov</c:v>
                </c:pt>
                <c:pt idx="1">
                  <c:v>21-dic</c:v>
                </c:pt>
                <c:pt idx="2">
                  <c:v>19-ene</c:v>
                </c:pt>
                <c:pt idx="3">
                  <c:v>29-feb</c:v>
                </c:pt>
                <c:pt idx="4">
                  <c:v>18-abr</c:v>
                </c:pt>
                <c:pt idx="5">
                  <c:v>18-jul</c:v>
                </c:pt>
              </c:strCache>
            </c:strRef>
          </c:cat>
          <c:val>
            <c:numRef>
              <c:f>Hoja1!$B$4:$G$4</c:f>
              <c:numCache>
                <c:formatCode>General</c:formatCode>
                <c:ptCount val="6"/>
                <c:pt idx="0">
                  <c:v>28</c:v>
                </c:pt>
                <c:pt idx="1">
                  <c:v>39</c:v>
                </c:pt>
                <c:pt idx="2">
                  <c:v>38</c:v>
                </c:pt>
                <c:pt idx="3">
                  <c:v>32</c:v>
                </c:pt>
                <c:pt idx="4">
                  <c:v>28</c:v>
                </c:pt>
                <c:pt idx="5">
                  <c:v>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Hoja1!$A$5</c:f>
              <c:strCache>
                <c:ptCount val="1"/>
                <c:pt idx="0">
                  <c:v>PO2</c:v>
                </c:pt>
              </c:strCache>
            </c:strRef>
          </c:tx>
          <c:cat>
            <c:strRef>
              <c:f>Hoja1!$B$1:$G$3</c:f>
              <c:strCache>
                <c:ptCount val="6"/>
                <c:pt idx="0">
                  <c:v>21-nov</c:v>
                </c:pt>
                <c:pt idx="1">
                  <c:v>21-dic</c:v>
                </c:pt>
                <c:pt idx="2">
                  <c:v>19-ene</c:v>
                </c:pt>
                <c:pt idx="3">
                  <c:v>29-feb</c:v>
                </c:pt>
                <c:pt idx="4">
                  <c:v>18-abr</c:v>
                </c:pt>
                <c:pt idx="5">
                  <c:v>18-jul</c:v>
                </c:pt>
              </c:strCache>
            </c:strRef>
          </c:cat>
          <c:val>
            <c:numRef>
              <c:f>Hoja1!$B$5:$G$5</c:f>
              <c:numCache>
                <c:formatCode>General</c:formatCode>
                <c:ptCount val="6"/>
                <c:pt idx="0">
                  <c:v>129</c:v>
                </c:pt>
                <c:pt idx="1">
                  <c:v>75</c:v>
                </c:pt>
                <c:pt idx="2">
                  <c:v>105</c:v>
                </c:pt>
                <c:pt idx="3">
                  <c:v>109</c:v>
                </c:pt>
                <c:pt idx="4">
                  <c:v>115</c:v>
                </c:pt>
                <c:pt idx="5">
                  <c:v>123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Hoja1!$A$6</c:f>
              <c:strCache>
                <c:ptCount val="1"/>
                <c:pt idx="0">
                  <c:v>HCO3</c:v>
                </c:pt>
              </c:strCache>
            </c:strRef>
          </c:tx>
          <c:cat>
            <c:strRef>
              <c:f>Hoja1!$B$1:$G$3</c:f>
              <c:strCache>
                <c:ptCount val="6"/>
                <c:pt idx="0">
                  <c:v>21-nov</c:v>
                </c:pt>
                <c:pt idx="1">
                  <c:v>21-dic</c:v>
                </c:pt>
                <c:pt idx="2">
                  <c:v>19-ene</c:v>
                </c:pt>
                <c:pt idx="3">
                  <c:v>29-feb</c:v>
                </c:pt>
                <c:pt idx="4">
                  <c:v>18-abr</c:v>
                </c:pt>
                <c:pt idx="5">
                  <c:v>18-jul</c:v>
                </c:pt>
              </c:strCache>
            </c:strRef>
          </c:cat>
          <c:val>
            <c:numRef>
              <c:f>Hoja1!$B$6:$G$6</c:f>
              <c:numCache>
                <c:formatCode>General</c:formatCode>
                <c:ptCount val="6"/>
                <c:pt idx="0">
                  <c:v>27</c:v>
                </c:pt>
                <c:pt idx="1">
                  <c:v>28</c:v>
                </c:pt>
                <c:pt idx="2">
                  <c:v>28</c:v>
                </c:pt>
                <c:pt idx="3">
                  <c:v>24</c:v>
                </c:pt>
                <c:pt idx="4">
                  <c:v>20</c:v>
                </c:pt>
                <c:pt idx="5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180288"/>
        <c:axId val="73181824"/>
      </c:lineChart>
      <c:catAx>
        <c:axId val="7318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73181824"/>
        <c:crosses val="autoZero"/>
        <c:auto val="1"/>
        <c:lblAlgn val="ctr"/>
        <c:lblOffset val="100"/>
        <c:noMultiLvlLbl val="0"/>
      </c:catAx>
      <c:valAx>
        <c:axId val="7318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180288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Basal</c:v>
          </c:tx>
          <c:invertIfNegative val="0"/>
          <c:cat>
            <c:strRef>
              <c:f>Hoja1!$A$4:$A$6</c:f>
              <c:strCache>
                <c:ptCount val="3"/>
                <c:pt idx="0">
                  <c:v>Oximetría basal despierto</c:v>
                </c:pt>
                <c:pt idx="1">
                  <c:v>Oximetría basal dormido</c:v>
                </c:pt>
                <c:pt idx="2">
                  <c:v>Oximetría basal mínima</c:v>
                </c:pt>
              </c:strCache>
            </c:strRef>
          </c:cat>
          <c:val>
            <c:numRef>
              <c:f>Hoja1!$B$4:$B$6</c:f>
              <c:numCache>
                <c:formatCode>0%</c:formatCode>
                <c:ptCount val="3"/>
                <c:pt idx="0">
                  <c:v>0.98</c:v>
                </c:pt>
                <c:pt idx="1">
                  <c:v>0.8</c:v>
                </c:pt>
                <c:pt idx="2">
                  <c:v>0.67</c:v>
                </c:pt>
              </c:numCache>
            </c:numRef>
          </c:val>
        </c:ser>
        <c:ser>
          <c:idx val="1"/>
          <c:order val="1"/>
          <c:tx>
            <c:v>Con BIPAP</c:v>
          </c:tx>
          <c:invertIfNegative val="0"/>
          <c:cat>
            <c:strRef>
              <c:f>Hoja1!$A$4:$A$6</c:f>
              <c:strCache>
                <c:ptCount val="3"/>
                <c:pt idx="0">
                  <c:v>Oximetría basal despierto</c:v>
                </c:pt>
                <c:pt idx="1">
                  <c:v>Oximetría basal dormido</c:v>
                </c:pt>
                <c:pt idx="2">
                  <c:v>Oximetría basal mínima</c:v>
                </c:pt>
              </c:strCache>
            </c:strRef>
          </c:cat>
          <c:val>
            <c:numRef>
              <c:f>Hoja1!$C$4:$C$6</c:f>
              <c:numCache>
                <c:formatCode>0%</c:formatCode>
                <c:ptCount val="3"/>
                <c:pt idx="0">
                  <c:v>0.98</c:v>
                </c:pt>
                <c:pt idx="1">
                  <c:v>0.92</c:v>
                </c:pt>
                <c:pt idx="2">
                  <c:v>0.86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2978816"/>
        <c:axId val="72980352"/>
      </c:barChart>
      <c:catAx>
        <c:axId val="72978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72980352"/>
        <c:crosses val="autoZero"/>
        <c:auto val="1"/>
        <c:lblAlgn val="ctr"/>
        <c:lblOffset val="100"/>
        <c:noMultiLvlLbl val="0"/>
      </c:catAx>
      <c:valAx>
        <c:axId val="72980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7297881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100"/>
            </a:pPr>
            <a:endParaRPr lang="es-AR"/>
          </a:p>
        </c:txPr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Hoja1!$A$13:$A$15</c:f>
              <c:strCache>
                <c:ptCount val="3"/>
                <c:pt idx="0">
                  <c:v>Capnografía basal</c:v>
                </c:pt>
                <c:pt idx="1">
                  <c:v>Capnografía post sueño </c:v>
                </c:pt>
                <c:pt idx="2">
                  <c:v>Capnografía post sueño con BIPAP</c:v>
                </c:pt>
              </c:strCache>
            </c:strRef>
          </c:cat>
          <c:val>
            <c:numRef>
              <c:f>Hoja1!$B$13:$B$15</c:f>
              <c:numCache>
                <c:formatCode>General</c:formatCode>
                <c:ptCount val="3"/>
                <c:pt idx="0">
                  <c:v>44</c:v>
                </c:pt>
                <c:pt idx="1">
                  <c:v>54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3362048"/>
        <c:axId val="73597312"/>
      </c:barChart>
      <c:catAx>
        <c:axId val="73362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73597312"/>
        <c:crosses val="autoZero"/>
        <c:auto val="1"/>
        <c:lblAlgn val="ctr"/>
        <c:lblOffset val="100"/>
        <c:noMultiLvlLbl val="0"/>
      </c:catAx>
      <c:valAx>
        <c:axId val="73597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33620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_rels/themeOverride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_rels/themeOverride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Aspecto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Aspecto">
    <a:majorFont>
      <a:latin typeface="Verdana"/>
      <a:ea typeface=""/>
      <a:cs typeface=""/>
      <a:font script="Jpan" typeface="ＭＳ ゴシック"/>
      <a:font script="Hang" typeface="굴림"/>
      <a:font script="Hans" typeface="微软雅黑"/>
      <a:font script="Hant" typeface="微軟正黑體"/>
      <a:font script="Arab" typeface="Tahoma"/>
      <a:font script="Hebr" typeface="Tahoma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ajorFont>
    <a:minorFont>
      <a:latin typeface="Verdana"/>
      <a:ea typeface=""/>
      <a:cs typeface=""/>
      <a:font script="Jpan" typeface="ＭＳ ゴシック"/>
      <a:font script="Hang" typeface="굴림"/>
      <a:font script="Hans" typeface="微软雅黑"/>
      <a:font script="Hant" typeface="微軟正黑體"/>
      <a:font script="Arab" typeface="Tahoma"/>
      <a:font script="Hebr" typeface="Tahoma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Aspecto">
    <a:fillStyleLst>
      <a:solidFill>
        <a:schemeClr val="phClr"/>
      </a:solidFill>
      <a:gradFill rotWithShape="1">
        <a:gsLst>
          <a:gs pos="0">
            <a:schemeClr val="phClr">
              <a:tint val="65000"/>
              <a:satMod val="270000"/>
            </a:schemeClr>
          </a:gs>
          <a:gs pos="25000">
            <a:schemeClr val="phClr">
              <a:tint val="60000"/>
              <a:satMod val="300000"/>
            </a:schemeClr>
          </a:gs>
          <a:gs pos="100000">
            <a:schemeClr val="phClr">
              <a:tint val="29000"/>
              <a:satMod val="40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45000"/>
              <a:satMod val="155000"/>
            </a:schemeClr>
          </a:gs>
          <a:gs pos="60000">
            <a:schemeClr val="phClr">
              <a:shade val="95000"/>
              <a:satMod val="150000"/>
            </a:schemeClr>
          </a:gs>
          <a:gs pos="100000">
            <a:schemeClr val="phClr">
              <a:tint val="87000"/>
              <a:satMod val="2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atMod val="150000"/>
          </a:schemeClr>
        </a:solidFill>
        <a:prstDash val="solid"/>
      </a:ln>
      <a:ln w="425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5500" dist="381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65500" dist="381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2000000"/>
          </a:lightRig>
        </a:scene3d>
        <a:sp3d prstMaterial="powder">
          <a:bevelT h="508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35000"/>
              <a:satMod val="150000"/>
            </a:schemeClr>
          </a:gs>
          <a:gs pos="45000">
            <a:schemeClr val="phClr">
              <a:shade val="68000"/>
              <a:satMod val="155000"/>
            </a:schemeClr>
          </a:gs>
          <a:gs pos="100000">
            <a:schemeClr val="phClr">
              <a:tint val="70000"/>
              <a:satMod val="175000"/>
            </a:schemeClr>
          </a:gs>
        </a:gsLst>
        <a:lin ang="16200000" scaled="0"/>
      </a:gradFill>
      <a:blipFill>
        <a:blip xmlns:r="http://schemas.openxmlformats.org/officeDocument/2006/relationships" r:embed="rId1">
          <a:duotone>
            <a:schemeClr val="phClr">
              <a:shade val="800"/>
              <a:satMod val="150000"/>
            </a:schemeClr>
            <a:schemeClr val="phClr">
              <a:tint val="80000"/>
              <a:satMod val="150000"/>
            </a:schemeClr>
          </a:duotone>
        </a:blip>
        <a:tile tx="0" ty="0" sx="75000" sy="75000" flip="none" algn="tl"/>
      </a:blipFill>
    </a:bgFillStyleLst>
  </a:fmtScheme>
</a:themeOverride>
</file>

<file path=word/theme/themeOverride4.xml><?xml version="1.0" encoding="utf-8"?>
<a:themeOverride xmlns:a="http://schemas.openxmlformats.org/drawingml/2006/main">
  <a:clrScheme name="Aspecto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Aspecto">
    <a:majorFont>
      <a:latin typeface="Verdana"/>
      <a:ea typeface=""/>
      <a:cs typeface=""/>
      <a:font script="Jpan" typeface="ＭＳ ゴシック"/>
      <a:font script="Hang" typeface="굴림"/>
      <a:font script="Hans" typeface="微软雅黑"/>
      <a:font script="Hant" typeface="微軟正黑體"/>
      <a:font script="Arab" typeface="Tahoma"/>
      <a:font script="Hebr" typeface="Tahoma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ajorFont>
    <a:minorFont>
      <a:latin typeface="Verdana"/>
      <a:ea typeface=""/>
      <a:cs typeface=""/>
      <a:font script="Jpan" typeface="ＭＳ ゴシック"/>
      <a:font script="Hang" typeface="굴림"/>
      <a:font script="Hans" typeface="微软雅黑"/>
      <a:font script="Hant" typeface="微軟正黑體"/>
      <a:font script="Arab" typeface="Tahoma"/>
      <a:font script="Hebr" typeface="Tahoma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Aspecto">
    <a:fillStyleLst>
      <a:solidFill>
        <a:schemeClr val="phClr"/>
      </a:solidFill>
      <a:gradFill rotWithShape="1">
        <a:gsLst>
          <a:gs pos="0">
            <a:schemeClr val="phClr">
              <a:tint val="65000"/>
              <a:satMod val="270000"/>
            </a:schemeClr>
          </a:gs>
          <a:gs pos="25000">
            <a:schemeClr val="phClr">
              <a:tint val="60000"/>
              <a:satMod val="300000"/>
            </a:schemeClr>
          </a:gs>
          <a:gs pos="100000">
            <a:schemeClr val="phClr">
              <a:tint val="29000"/>
              <a:satMod val="40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45000"/>
              <a:satMod val="155000"/>
            </a:schemeClr>
          </a:gs>
          <a:gs pos="60000">
            <a:schemeClr val="phClr">
              <a:shade val="95000"/>
              <a:satMod val="150000"/>
            </a:schemeClr>
          </a:gs>
          <a:gs pos="100000">
            <a:schemeClr val="phClr">
              <a:tint val="87000"/>
              <a:satMod val="2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atMod val="150000"/>
          </a:schemeClr>
        </a:solidFill>
        <a:prstDash val="solid"/>
      </a:ln>
      <a:ln w="425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5500" dist="381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65500" dist="381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2000000"/>
          </a:lightRig>
        </a:scene3d>
        <a:sp3d prstMaterial="powder">
          <a:bevelT h="508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35000"/>
              <a:satMod val="150000"/>
            </a:schemeClr>
          </a:gs>
          <a:gs pos="45000">
            <a:schemeClr val="phClr">
              <a:shade val="68000"/>
              <a:satMod val="155000"/>
            </a:schemeClr>
          </a:gs>
          <a:gs pos="100000">
            <a:schemeClr val="phClr">
              <a:tint val="70000"/>
              <a:satMod val="175000"/>
            </a:schemeClr>
          </a:gs>
        </a:gsLst>
        <a:lin ang="16200000" scaled="0"/>
      </a:gradFill>
      <a:blipFill>
        <a:blip xmlns:r="http://schemas.openxmlformats.org/officeDocument/2006/relationships" r:embed="rId1">
          <a:duotone>
            <a:schemeClr val="phClr">
              <a:shade val="800"/>
              <a:satMod val="150000"/>
            </a:schemeClr>
            <a:schemeClr val="phClr">
              <a:tint val="80000"/>
              <a:satMod val="150000"/>
            </a:schemeClr>
          </a:duotone>
        </a:blip>
        <a:tile tx="0" ty="0" sx="75000" sy="75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CASO CLÍNICO: Sindrome de Hipoventilación Central Congénita de Presentación Tardía</vt:lpstr>
    </vt:vector>
  </TitlesOfParts>
  <Company>Buenos Aires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 CLÍNICO: Sindrome de Hipoventilación Central Congénita de Presentación Tardía</dc:title>
  <dc:creator>Brichetti, Valeria Melisa</dc:creator>
  <cp:lastModifiedBy>Carlos</cp:lastModifiedBy>
  <cp:revision>4</cp:revision>
  <dcterms:created xsi:type="dcterms:W3CDTF">2016-03-21T00:18:00Z</dcterms:created>
  <dcterms:modified xsi:type="dcterms:W3CDTF">2016-03-21T00:45:00Z</dcterms:modified>
</cp:coreProperties>
</file>